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F4072" w14:textId="77777777" w:rsidR="00B36008" w:rsidRPr="00CC7265" w:rsidRDefault="00B36008" w:rsidP="00B36008">
      <w:pPr>
        <w:pStyle w:val="Tekstpodstawowy"/>
        <w:spacing w:line="276" w:lineRule="auto"/>
        <w:jc w:val="center"/>
        <w:rPr>
          <w:b/>
        </w:rPr>
      </w:pPr>
      <w:bookmarkStart w:id="0" w:name="_GoBack"/>
      <w:bookmarkEnd w:id="0"/>
    </w:p>
    <w:p w14:paraId="5B985CA9" w14:textId="77777777" w:rsidR="00B36008" w:rsidRPr="00CC7265" w:rsidRDefault="00B36008" w:rsidP="00B36008">
      <w:pPr>
        <w:pStyle w:val="Tekstpodstawowy"/>
        <w:spacing w:line="276" w:lineRule="auto"/>
        <w:jc w:val="center"/>
        <w:rPr>
          <w:b/>
        </w:rPr>
      </w:pPr>
    </w:p>
    <w:p w14:paraId="7F2793FC" w14:textId="77777777" w:rsidR="00B36008" w:rsidRPr="00CC7265" w:rsidRDefault="00B36008" w:rsidP="00B36008">
      <w:pPr>
        <w:pStyle w:val="Tekstpodstawowy"/>
        <w:spacing w:line="276" w:lineRule="auto"/>
        <w:jc w:val="center"/>
        <w:rPr>
          <w:b/>
        </w:rPr>
      </w:pPr>
      <w:r w:rsidRPr="00CC7265">
        <w:rPr>
          <w:b/>
        </w:rPr>
        <w:t>Polska Agencja Rozwoju Przedsiębiorczości</w:t>
      </w:r>
    </w:p>
    <w:p w14:paraId="2C652D86" w14:textId="77777777" w:rsidR="00B36008" w:rsidRPr="00CC7265" w:rsidRDefault="00B36008" w:rsidP="00B36008">
      <w:pPr>
        <w:spacing w:after="120"/>
        <w:jc w:val="center"/>
        <w:rPr>
          <w:rFonts w:ascii="Times New Roman" w:hAnsi="Times New Roman" w:cs="Times New Roman"/>
        </w:rPr>
      </w:pPr>
    </w:p>
    <w:p w14:paraId="409034A3" w14:textId="77777777"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rPr>
        <w:t>ul. Pańska 81/83</w:t>
      </w:r>
    </w:p>
    <w:p w14:paraId="77402B93" w14:textId="77777777"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rPr>
        <w:t>00-834 Warszawa</w:t>
      </w:r>
    </w:p>
    <w:p w14:paraId="73D4A8DA" w14:textId="77777777" w:rsidR="00B36008" w:rsidRPr="00CC7265" w:rsidRDefault="00B36008" w:rsidP="00B36008">
      <w:pPr>
        <w:spacing w:after="120"/>
        <w:jc w:val="center"/>
        <w:rPr>
          <w:rFonts w:ascii="Times New Roman" w:hAnsi="Times New Roman" w:cs="Times New Roman"/>
        </w:rPr>
      </w:pPr>
    </w:p>
    <w:p w14:paraId="405E962D" w14:textId="77777777" w:rsidR="00B36008" w:rsidRPr="00CC7265" w:rsidRDefault="00B36008" w:rsidP="00B36008">
      <w:pPr>
        <w:spacing w:after="120"/>
        <w:jc w:val="both"/>
        <w:rPr>
          <w:rFonts w:ascii="Times New Roman" w:hAnsi="Times New Roman" w:cs="Times New Roman"/>
        </w:rPr>
      </w:pPr>
    </w:p>
    <w:p w14:paraId="07B4143E" w14:textId="77777777" w:rsidR="00B36008" w:rsidRPr="00CC7265" w:rsidRDefault="00B36008" w:rsidP="00B36008">
      <w:pPr>
        <w:spacing w:after="120"/>
        <w:jc w:val="center"/>
        <w:rPr>
          <w:rFonts w:ascii="Times New Roman" w:hAnsi="Times New Roman" w:cs="Times New Roman"/>
          <w:b/>
          <w:bCs/>
        </w:rPr>
      </w:pPr>
      <w:r w:rsidRPr="00CC7265">
        <w:rPr>
          <w:rFonts w:ascii="Times New Roman" w:hAnsi="Times New Roman" w:cs="Times New Roman"/>
          <w:b/>
          <w:bCs/>
        </w:rPr>
        <w:t>Regulamin naboru</w:t>
      </w:r>
    </w:p>
    <w:p w14:paraId="22794479" w14:textId="77777777" w:rsidR="00B36008" w:rsidRPr="00CC7265" w:rsidRDefault="00B36008" w:rsidP="00B36008">
      <w:pPr>
        <w:spacing w:after="120"/>
        <w:jc w:val="center"/>
        <w:rPr>
          <w:rFonts w:ascii="Times New Roman" w:hAnsi="Times New Roman" w:cs="Times New Roman"/>
          <w:b/>
          <w:bCs/>
        </w:rPr>
      </w:pPr>
      <w:r w:rsidRPr="00CC7265">
        <w:rPr>
          <w:rFonts w:ascii="Times New Roman" w:hAnsi="Times New Roman" w:cs="Times New Roman"/>
          <w:b/>
          <w:bCs/>
        </w:rPr>
        <w:t>w ramach</w:t>
      </w:r>
    </w:p>
    <w:p w14:paraId="2144A768" w14:textId="77777777"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b/>
          <w:bCs/>
        </w:rPr>
        <w:t>Programu Operacyjnego Inteligentny Rozwój 2014-2020</w:t>
      </w:r>
    </w:p>
    <w:p w14:paraId="61D70544" w14:textId="77777777" w:rsidR="00B36008" w:rsidRPr="00CC7265" w:rsidRDefault="00B36008" w:rsidP="00B36008">
      <w:pPr>
        <w:spacing w:after="120"/>
        <w:jc w:val="center"/>
        <w:rPr>
          <w:rFonts w:ascii="Times New Roman" w:hAnsi="Times New Roman" w:cs="Times New Roman"/>
        </w:rPr>
      </w:pPr>
    </w:p>
    <w:p w14:paraId="10F1DC4B" w14:textId="77777777" w:rsidR="00B36008" w:rsidRPr="00CC7265" w:rsidRDefault="00B36008" w:rsidP="00B36008">
      <w:pPr>
        <w:spacing w:after="120"/>
        <w:jc w:val="center"/>
        <w:rPr>
          <w:rFonts w:ascii="Times New Roman" w:hAnsi="Times New Roman" w:cs="Times New Roman"/>
        </w:rPr>
      </w:pPr>
    </w:p>
    <w:p w14:paraId="299CF3E0" w14:textId="77777777"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rPr>
        <w:t>oś priorytetowa II: Wsparcie otoczenia i potencjału przedsiębiorstw do prowadzenia działalności B+R+I</w:t>
      </w:r>
    </w:p>
    <w:p w14:paraId="0544AEEC" w14:textId="77777777" w:rsidR="00B36008" w:rsidRPr="00CC7265" w:rsidRDefault="00B36008" w:rsidP="00B36008">
      <w:pPr>
        <w:spacing w:after="120"/>
        <w:jc w:val="center"/>
        <w:rPr>
          <w:rFonts w:ascii="Times New Roman" w:hAnsi="Times New Roman" w:cs="Times New Roman"/>
          <w:b/>
          <w:bCs/>
          <w:i/>
          <w:iCs/>
        </w:rPr>
      </w:pPr>
    </w:p>
    <w:p w14:paraId="36F73F58" w14:textId="77777777" w:rsidR="00B36008" w:rsidRPr="00CC7265" w:rsidRDefault="00B36008" w:rsidP="00B36008">
      <w:pPr>
        <w:spacing w:after="120"/>
        <w:rPr>
          <w:rFonts w:ascii="Times New Roman" w:hAnsi="Times New Roman" w:cs="Times New Roman"/>
          <w:b/>
          <w:bCs/>
        </w:rPr>
      </w:pPr>
    </w:p>
    <w:p w14:paraId="4645E1DE" w14:textId="77777777" w:rsidR="00B36008" w:rsidRPr="00CC7265" w:rsidRDefault="00B36008" w:rsidP="00B36008">
      <w:pPr>
        <w:spacing w:after="120"/>
        <w:jc w:val="center"/>
        <w:rPr>
          <w:rFonts w:ascii="Times New Roman" w:hAnsi="Times New Roman" w:cs="Times New Roman"/>
          <w:b/>
          <w:bCs/>
        </w:rPr>
      </w:pPr>
      <w:r w:rsidRPr="00CC7265">
        <w:rPr>
          <w:rFonts w:ascii="Times New Roman" w:hAnsi="Times New Roman" w:cs="Times New Roman"/>
          <w:b/>
          <w:bCs/>
        </w:rPr>
        <w:t>działanie 2.4 Współpraca w ramach krajowego systemu innowacji</w:t>
      </w:r>
    </w:p>
    <w:p w14:paraId="01F6E5C2" w14:textId="73696DA1" w:rsidR="00B36008" w:rsidRPr="00CC7265" w:rsidRDefault="00B36008" w:rsidP="00B36008">
      <w:pPr>
        <w:spacing w:after="120"/>
        <w:jc w:val="center"/>
        <w:rPr>
          <w:rFonts w:ascii="Times New Roman" w:hAnsi="Times New Roman" w:cs="Times New Roman"/>
          <w:b/>
          <w:bCs/>
        </w:rPr>
      </w:pPr>
      <w:r w:rsidRPr="00CC7265">
        <w:rPr>
          <w:rFonts w:ascii="Times New Roman" w:hAnsi="Times New Roman" w:cs="Times New Roman"/>
          <w:b/>
          <w:bCs/>
        </w:rPr>
        <w:t>Poddziałanie 2.4.1</w:t>
      </w:r>
      <w:r w:rsidR="00BA0307">
        <w:rPr>
          <w:rFonts w:ascii="Times New Roman" w:hAnsi="Times New Roman" w:cs="Times New Roman"/>
          <w:b/>
          <w:bCs/>
        </w:rPr>
        <w:t>.</w:t>
      </w:r>
      <w:r w:rsidRPr="00CC7265">
        <w:rPr>
          <w:rFonts w:ascii="Times New Roman" w:hAnsi="Times New Roman" w:cs="Times New Roman"/>
          <w:b/>
          <w:bCs/>
        </w:rPr>
        <w:t xml:space="preserve"> Centrum analiz i pilotaży nowych instrumentów </w:t>
      </w:r>
      <w:r w:rsidR="00040E10">
        <w:rPr>
          <w:rFonts w:ascii="Times New Roman" w:hAnsi="Times New Roman" w:cs="Times New Roman"/>
          <w:b/>
          <w:bCs/>
        </w:rPr>
        <w:t>i</w:t>
      </w:r>
      <w:r w:rsidRPr="00CC7265">
        <w:rPr>
          <w:rFonts w:ascii="Times New Roman" w:hAnsi="Times New Roman" w:cs="Times New Roman"/>
          <w:b/>
          <w:bCs/>
        </w:rPr>
        <w:t>nno_Lab</w:t>
      </w:r>
    </w:p>
    <w:p w14:paraId="77D8EA5C" w14:textId="77777777" w:rsidR="00B36008" w:rsidRPr="00035AAE" w:rsidRDefault="00B36008" w:rsidP="00B36008">
      <w:pPr>
        <w:spacing w:after="120"/>
        <w:jc w:val="center"/>
        <w:rPr>
          <w:rFonts w:ascii="Times New Roman" w:hAnsi="Times New Roman" w:cs="Times New Roman"/>
          <w:b/>
          <w:bCs/>
          <w:lang w:val="en-US"/>
        </w:rPr>
      </w:pPr>
      <w:r w:rsidRPr="00035AAE">
        <w:rPr>
          <w:rFonts w:ascii="Times New Roman" w:hAnsi="Times New Roman" w:cs="Times New Roman"/>
          <w:b/>
          <w:bCs/>
          <w:lang w:val="en-US"/>
        </w:rPr>
        <w:t xml:space="preserve">Pilotaż </w:t>
      </w:r>
      <w:r w:rsidR="00EB7803" w:rsidRPr="00035AAE">
        <w:rPr>
          <w:rFonts w:ascii="Times New Roman" w:hAnsi="Times New Roman" w:cs="Times New Roman"/>
          <w:b/>
          <w:bCs/>
          <w:lang w:val="en-US"/>
        </w:rPr>
        <w:t>Granty dla „Seal of excellence”</w:t>
      </w:r>
    </w:p>
    <w:p w14:paraId="57A3D60A" w14:textId="77777777" w:rsidR="00B36008" w:rsidRPr="00035AAE" w:rsidRDefault="00B36008" w:rsidP="00B36008">
      <w:pPr>
        <w:spacing w:after="120"/>
        <w:jc w:val="center"/>
        <w:rPr>
          <w:rFonts w:ascii="Times New Roman" w:hAnsi="Times New Roman" w:cs="Times New Roman"/>
          <w:bCs/>
          <w:i/>
          <w:lang w:val="en-US"/>
        </w:rPr>
      </w:pPr>
    </w:p>
    <w:p w14:paraId="43572FE6" w14:textId="77777777" w:rsidR="00B36008" w:rsidRPr="00035AAE" w:rsidRDefault="00B36008" w:rsidP="00B36008">
      <w:pPr>
        <w:spacing w:after="120"/>
        <w:jc w:val="center"/>
        <w:rPr>
          <w:rFonts w:ascii="Times New Roman" w:hAnsi="Times New Roman" w:cs="Times New Roman"/>
          <w:bCs/>
          <w:i/>
          <w:lang w:val="en-US"/>
        </w:rPr>
      </w:pPr>
    </w:p>
    <w:p w14:paraId="02D56479" w14:textId="03D88541" w:rsidR="00B36008" w:rsidRPr="00CC7265" w:rsidRDefault="00B36008" w:rsidP="00B36008">
      <w:pPr>
        <w:spacing w:after="120"/>
        <w:jc w:val="center"/>
        <w:rPr>
          <w:rFonts w:ascii="Times New Roman" w:hAnsi="Times New Roman" w:cs="Times New Roman"/>
          <w:b/>
          <w:bCs/>
        </w:rPr>
      </w:pPr>
      <w:r w:rsidRPr="00CC7265">
        <w:rPr>
          <w:rFonts w:ascii="Times New Roman" w:hAnsi="Times New Roman" w:cs="Times New Roman"/>
          <w:bCs/>
        </w:rPr>
        <w:t xml:space="preserve">Kwota przeznaczona na </w:t>
      </w:r>
      <w:r w:rsidR="008138D1">
        <w:rPr>
          <w:rFonts w:ascii="Times New Roman" w:hAnsi="Times New Roman" w:cs="Times New Roman"/>
          <w:bCs/>
        </w:rPr>
        <w:t xml:space="preserve">powierzenie grantów dla </w:t>
      </w:r>
      <w:r w:rsidRPr="00CC7265">
        <w:rPr>
          <w:rFonts w:ascii="Times New Roman" w:hAnsi="Times New Roman" w:cs="Times New Roman"/>
          <w:bCs/>
        </w:rPr>
        <w:t>projektów</w:t>
      </w:r>
      <w:r w:rsidRPr="00CC7265">
        <w:rPr>
          <w:rFonts w:ascii="Times New Roman" w:hAnsi="Times New Roman" w:cs="Times New Roman"/>
          <w:b/>
          <w:bCs/>
        </w:rPr>
        <w:t>:</w:t>
      </w:r>
    </w:p>
    <w:p w14:paraId="4F7C283C" w14:textId="70778583" w:rsidR="00B36008" w:rsidRPr="00CC7265" w:rsidRDefault="00F376AC" w:rsidP="00B36008">
      <w:pPr>
        <w:spacing w:after="120"/>
        <w:jc w:val="center"/>
        <w:rPr>
          <w:rFonts w:ascii="Times New Roman" w:hAnsi="Times New Roman" w:cs="Times New Roman"/>
          <w:bCs/>
        </w:rPr>
      </w:pPr>
      <w:r w:rsidRPr="00F376AC">
        <w:rPr>
          <w:rFonts w:ascii="Times New Roman" w:hAnsi="Times New Roman" w:cs="Times New Roman"/>
          <w:bCs/>
        </w:rPr>
        <w:t>3.78</w:t>
      </w:r>
      <w:r w:rsidR="008A27A8" w:rsidRPr="00F376AC">
        <w:rPr>
          <w:rFonts w:ascii="Times New Roman" w:hAnsi="Times New Roman" w:cs="Times New Roman"/>
          <w:bCs/>
        </w:rPr>
        <w:t>0.000,00</w:t>
      </w:r>
      <w:r w:rsidR="00B36008" w:rsidRPr="00CC7265">
        <w:rPr>
          <w:rFonts w:ascii="Times New Roman" w:hAnsi="Times New Roman" w:cs="Times New Roman"/>
          <w:bCs/>
        </w:rPr>
        <w:t xml:space="preserve"> zł</w:t>
      </w:r>
    </w:p>
    <w:p w14:paraId="69205B11" w14:textId="77777777" w:rsidR="00B36008" w:rsidRPr="00CC7265" w:rsidRDefault="00B36008" w:rsidP="00B36008">
      <w:pPr>
        <w:spacing w:after="120"/>
        <w:jc w:val="both"/>
        <w:rPr>
          <w:rFonts w:ascii="Times New Roman" w:hAnsi="Times New Roman" w:cs="Times New Roman"/>
        </w:rPr>
      </w:pPr>
    </w:p>
    <w:p w14:paraId="195280C8" w14:textId="3449F651"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b/>
        </w:rPr>
        <w:t xml:space="preserve">Nr </w:t>
      </w:r>
      <w:r w:rsidR="009E2530" w:rsidRPr="00CC7265">
        <w:rPr>
          <w:rFonts w:ascii="Times New Roman" w:hAnsi="Times New Roman" w:cs="Times New Roman"/>
          <w:b/>
        </w:rPr>
        <w:t>naboru</w:t>
      </w:r>
      <w:r w:rsidRPr="00CC7265">
        <w:rPr>
          <w:rFonts w:ascii="Times New Roman" w:hAnsi="Times New Roman" w:cs="Times New Roman"/>
        </w:rPr>
        <w:t xml:space="preserve">: </w:t>
      </w:r>
      <w:r w:rsidR="00544BC9">
        <w:rPr>
          <w:rFonts w:ascii="Times New Roman" w:hAnsi="Times New Roman" w:cs="Times New Roman"/>
          <w:b/>
        </w:rPr>
        <w:t>2</w:t>
      </w:r>
    </w:p>
    <w:p w14:paraId="0D2337D3" w14:textId="77777777" w:rsidR="00B36008" w:rsidRPr="00CC7265" w:rsidRDefault="00B36008" w:rsidP="00B36008">
      <w:pPr>
        <w:spacing w:after="120"/>
        <w:jc w:val="center"/>
        <w:rPr>
          <w:rFonts w:ascii="Times New Roman" w:hAnsi="Times New Roman" w:cs="Times New Roman"/>
        </w:rPr>
      </w:pPr>
    </w:p>
    <w:p w14:paraId="1B2151DA" w14:textId="4EE34A93" w:rsidR="00B36008" w:rsidRPr="00CC7265" w:rsidRDefault="00B36008" w:rsidP="00B36008">
      <w:pPr>
        <w:spacing w:after="120"/>
        <w:jc w:val="center"/>
        <w:rPr>
          <w:rFonts w:ascii="Times New Roman" w:hAnsi="Times New Roman" w:cs="Times New Roman"/>
        </w:rPr>
      </w:pPr>
      <w:r w:rsidRPr="00CC7265">
        <w:rPr>
          <w:rFonts w:ascii="Times New Roman" w:hAnsi="Times New Roman" w:cs="Times New Roman"/>
          <w:b/>
        </w:rPr>
        <w:t>Rok: 201</w:t>
      </w:r>
      <w:r w:rsidR="003B2DF7">
        <w:rPr>
          <w:rFonts w:ascii="Times New Roman" w:hAnsi="Times New Roman" w:cs="Times New Roman"/>
          <w:b/>
        </w:rPr>
        <w:t>8</w:t>
      </w:r>
    </w:p>
    <w:p w14:paraId="684DD483" w14:textId="77777777" w:rsidR="00B36008" w:rsidRPr="00CC7265" w:rsidRDefault="00B36008" w:rsidP="00B36008">
      <w:pPr>
        <w:spacing w:after="120"/>
        <w:jc w:val="both"/>
        <w:rPr>
          <w:rFonts w:ascii="Times New Roman" w:hAnsi="Times New Roman" w:cs="Times New Roman"/>
        </w:rPr>
      </w:pPr>
    </w:p>
    <w:p w14:paraId="0CDE87E6" w14:textId="77777777" w:rsidR="00B36008" w:rsidRPr="00CC7265" w:rsidRDefault="00B36008" w:rsidP="00B36008">
      <w:pPr>
        <w:spacing w:after="120"/>
        <w:rPr>
          <w:rFonts w:ascii="Times New Roman" w:hAnsi="Times New Roman" w:cs="Times New Roman"/>
          <w:b/>
          <w:bCs/>
          <w:i/>
          <w:iCs/>
        </w:rPr>
      </w:pPr>
    </w:p>
    <w:p w14:paraId="50104205" w14:textId="77777777" w:rsidR="00B36008" w:rsidRPr="00CC7265" w:rsidRDefault="00B36008" w:rsidP="00B36008">
      <w:pPr>
        <w:spacing w:after="120"/>
        <w:rPr>
          <w:rFonts w:ascii="Times New Roman" w:hAnsi="Times New Roman" w:cs="Times New Roman"/>
          <w:b/>
          <w:bCs/>
          <w:i/>
          <w:iCs/>
        </w:rPr>
      </w:pPr>
    </w:p>
    <w:p w14:paraId="1AC18DE3" w14:textId="0795131E" w:rsidR="00B36008" w:rsidRPr="00CC7265" w:rsidRDefault="00B21ABA" w:rsidP="00B36008">
      <w:pPr>
        <w:spacing w:after="120"/>
        <w:jc w:val="center"/>
        <w:rPr>
          <w:rFonts w:ascii="Times New Roman" w:hAnsi="Times New Roman" w:cs="Times New Roman"/>
          <w:b/>
          <w:bCs/>
          <w:iCs/>
        </w:rPr>
      </w:pPr>
      <w:r>
        <w:rPr>
          <w:rFonts w:ascii="Times New Roman" w:hAnsi="Times New Roman" w:cs="Times New Roman"/>
          <w:b/>
          <w:bCs/>
          <w:iCs/>
        </w:rPr>
        <w:t>11.04.</w:t>
      </w:r>
      <w:r w:rsidR="00B36008" w:rsidRPr="00CC7265">
        <w:rPr>
          <w:rFonts w:ascii="Times New Roman" w:hAnsi="Times New Roman" w:cs="Times New Roman"/>
          <w:b/>
          <w:bCs/>
          <w:iCs/>
        </w:rPr>
        <w:t>201</w:t>
      </w:r>
      <w:r w:rsidR="003B2DF7">
        <w:rPr>
          <w:rFonts w:ascii="Times New Roman" w:hAnsi="Times New Roman" w:cs="Times New Roman"/>
          <w:b/>
          <w:bCs/>
          <w:iCs/>
        </w:rPr>
        <w:t>8</w:t>
      </w:r>
    </w:p>
    <w:p w14:paraId="0E6D0FAA" w14:textId="34D064AC" w:rsidR="009E2530" w:rsidRPr="00CC7265" w:rsidRDefault="00CC7265" w:rsidP="008A27A8">
      <w:pPr>
        <w:spacing w:after="120"/>
        <w:jc w:val="center"/>
        <w:rPr>
          <w:rFonts w:ascii="Times New Roman" w:hAnsi="Times New Roman" w:cs="Times New Roman"/>
          <w:bCs/>
          <w:i/>
          <w:iCs/>
        </w:rPr>
      </w:pPr>
      <w:r>
        <w:rPr>
          <w:rFonts w:ascii="Times New Roman" w:hAnsi="Times New Roman" w:cs="Times New Roman"/>
          <w:bCs/>
          <w:i/>
          <w:iCs/>
        </w:rPr>
        <w:t>Data zatwierdzenia regulaminu przez Instytucj</w:t>
      </w:r>
      <w:r w:rsidR="0001038E">
        <w:rPr>
          <w:rFonts w:ascii="Times New Roman" w:hAnsi="Times New Roman" w:cs="Times New Roman"/>
          <w:bCs/>
          <w:i/>
          <w:iCs/>
        </w:rPr>
        <w:t>ę</w:t>
      </w:r>
      <w:r>
        <w:rPr>
          <w:rFonts w:ascii="Times New Roman" w:hAnsi="Times New Roman" w:cs="Times New Roman"/>
          <w:bCs/>
          <w:i/>
          <w:iCs/>
        </w:rPr>
        <w:t xml:space="preserve"> Zarządzającą</w:t>
      </w:r>
    </w:p>
    <w:p w14:paraId="08FEAA34" w14:textId="77777777" w:rsidR="009E2530" w:rsidRPr="00CC7265" w:rsidRDefault="009E2530" w:rsidP="008A27A8">
      <w:pPr>
        <w:spacing w:after="120"/>
        <w:jc w:val="center"/>
        <w:rPr>
          <w:rFonts w:ascii="Times New Roman" w:hAnsi="Times New Roman" w:cs="Times New Roman"/>
          <w:bCs/>
          <w:i/>
          <w:iCs/>
        </w:rPr>
      </w:pPr>
    </w:p>
    <w:p w14:paraId="6565AB70" w14:textId="1C7438A8" w:rsidR="00D8363A" w:rsidRDefault="00D8363A" w:rsidP="0060152B">
      <w:pPr>
        <w:spacing w:after="160" w:line="259" w:lineRule="auto"/>
        <w:jc w:val="center"/>
        <w:rPr>
          <w:rFonts w:ascii="Times New Roman" w:hAnsi="Times New Roman" w:cs="Times New Roman"/>
          <w:b/>
          <w:sz w:val="24"/>
        </w:rPr>
      </w:pPr>
      <w:r>
        <w:rPr>
          <w:rFonts w:ascii="Times New Roman" w:hAnsi="Times New Roman" w:cs="Times New Roman"/>
          <w:b/>
          <w:sz w:val="24"/>
        </w:rPr>
        <w:lastRenderedPageBreak/>
        <w:t>§ 1</w:t>
      </w:r>
    </w:p>
    <w:p w14:paraId="086EE7BE" w14:textId="77777777" w:rsidR="008A27A8" w:rsidRPr="00EB7803" w:rsidRDefault="008A27A8" w:rsidP="008A27A8">
      <w:pPr>
        <w:spacing w:after="120"/>
        <w:jc w:val="center"/>
        <w:rPr>
          <w:rFonts w:ascii="Times New Roman" w:hAnsi="Times New Roman" w:cs="Times New Roman"/>
          <w:b/>
          <w:sz w:val="24"/>
        </w:rPr>
      </w:pPr>
      <w:r w:rsidRPr="00EB7803">
        <w:rPr>
          <w:rFonts w:ascii="Times New Roman" w:hAnsi="Times New Roman" w:cs="Times New Roman"/>
          <w:b/>
          <w:sz w:val="24"/>
        </w:rPr>
        <w:t>Podstawy prawne</w:t>
      </w:r>
    </w:p>
    <w:p w14:paraId="21BD27C3" w14:textId="77777777" w:rsidR="008A27A8" w:rsidRPr="00EB7803" w:rsidRDefault="008A27A8" w:rsidP="00223CAE">
      <w:pPr>
        <w:numPr>
          <w:ilvl w:val="0"/>
          <w:numId w:val="9"/>
        </w:numPr>
        <w:spacing w:after="120"/>
        <w:jc w:val="both"/>
        <w:rPr>
          <w:rFonts w:ascii="Times New Roman" w:hAnsi="Times New Roman" w:cs="Times New Roman"/>
          <w:sz w:val="24"/>
        </w:rPr>
      </w:pPr>
      <w:r w:rsidRPr="00EB7803">
        <w:rPr>
          <w:rFonts w:ascii="Times New Roman" w:hAnsi="Times New Roman" w:cs="Times New Roman"/>
          <w:sz w:val="24"/>
        </w:rPr>
        <w:t>Niniejszy regulamin został przygotowany na podstawie:</w:t>
      </w:r>
    </w:p>
    <w:p w14:paraId="70AB1F1B" w14:textId="40189434" w:rsidR="008A27A8" w:rsidRPr="00EB7803" w:rsidRDefault="008A27A8" w:rsidP="00223CAE">
      <w:pPr>
        <w:numPr>
          <w:ilvl w:val="0"/>
          <w:numId w:val="10"/>
        </w:numPr>
        <w:spacing w:after="120"/>
        <w:jc w:val="both"/>
        <w:rPr>
          <w:rFonts w:ascii="Times New Roman" w:hAnsi="Times New Roman" w:cs="Times New Roman"/>
          <w:sz w:val="24"/>
        </w:rPr>
      </w:pPr>
      <w:r w:rsidRPr="00EB7803">
        <w:rPr>
          <w:rFonts w:ascii="Times New Roman" w:hAnsi="Times New Roman" w:cs="Times New Roman"/>
          <w:sz w:val="24"/>
        </w:rPr>
        <w:t xml:space="preserve">art. </w:t>
      </w:r>
      <w:r w:rsidR="00207B19" w:rsidRPr="00EB7803">
        <w:rPr>
          <w:rFonts w:ascii="Times New Roman" w:hAnsi="Times New Roman" w:cs="Times New Roman"/>
          <w:sz w:val="24"/>
        </w:rPr>
        <w:t>35</w:t>
      </w:r>
      <w:r w:rsidRPr="00EB7803">
        <w:rPr>
          <w:rFonts w:ascii="Times New Roman" w:hAnsi="Times New Roman" w:cs="Times New Roman"/>
          <w:sz w:val="24"/>
        </w:rPr>
        <w:t xml:space="preserve"> </w:t>
      </w:r>
      <w:r w:rsidR="00EB7803">
        <w:rPr>
          <w:rFonts w:ascii="Times New Roman" w:hAnsi="Times New Roman" w:cs="Times New Roman"/>
          <w:sz w:val="24"/>
        </w:rPr>
        <w:t>i art. 36</w:t>
      </w:r>
      <w:r w:rsidRPr="00EB7803">
        <w:rPr>
          <w:rFonts w:ascii="Times New Roman" w:hAnsi="Times New Roman" w:cs="Times New Roman"/>
          <w:sz w:val="24"/>
        </w:rPr>
        <w:t xml:space="preserve"> ustawy z dnia 11 lipca 2014 r. o zasadach realizacji programów </w:t>
      </w:r>
      <w:r w:rsidRPr="00EB7803">
        <w:rPr>
          <w:rFonts w:ascii="Times New Roman" w:hAnsi="Times New Roman" w:cs="Times New Roman"/>
          <w:sz w:val="24"/>
        </w:rPr>
        <w:br/>
        <w:t>w zakresie polityki spójności finansowanych w perspektywie finansowej 2014-2020 (Dz. U. z 201</w:t>
      </w:r>
      <w:r w:rsidR="00C9048C">
        <w:rPr>
          <w:rFonts w:ascii="Times New Roman" w:hAnsi="Times New Roman" w:cs="Times New Roman"/>
          <w:sz w:val="24"/>
        </w:rPr>
        <w:t>7</w:t>
      </w:r>
      <w:r w:rsidRPr="00EB7803">
        <w:rPr>
          <w:rFonts w:ascii="Times New Roman" w:hAnsi="Times New Roman" w:cs="Times New Roman"/>
          <w:sz w:val="24"/>
        </w:rPr>
        <w:t xml:space="preserve"> r. poz. </w:t>
      </w:r>
      <w:r w:rsidR="00C9048C">
        <w:rPr>
          <w:rFonts w:ascii="Times New Roman" w:hAnsi="Times New Roman" w:cs="Times New Roman"/>
          <w:sz w:val="24"/>
        </w:rPr>
        <w:t>1460</w:t>
      </w:r>
      <w:r w:rsidR="00F4661F">
        <w:rPr>
          <w:rFonts w:ascii="Times New Roman" w:hAnsi="Times New Roman" w:cs="Times New Roman"/>
          <w:sz w:val="24"/>
        </w:rPr>
        <w:t>,</w:t>
      </w:r>
      <w:r w:rsidR="00C9048C">
        <w:rPr>
          <w:rFonts w:ascii="Times New Roman" w:hAnsi="Times New Roman" w:cs="Times New Roman"/>
          <w:sz w:val="24"/>
        </w:rPr>
        <w:t xml:space="preserve"> </w:t>
      </w:r>
      <w:r w:rsidRPr="00EB7803">
        <w:rPr>
          <w:rFonts w:ascii="Times New Roman" w:hAnsi="Times New Roman" w:cs="Times New Roman"/>
          <w:sz w:val="24"/>
        </w:rPr>
        <w:t>z</w:t>
      </w:r>
      <w:r w:rsidR="00D8363A">
        <w:rPr>
          <w:rFonts w:ascii="Times New Roman" w:hAnsi="Times New Roman" w:cs="Times New Roman"/>
          <w:sz w:val="24"/>
        </w:rPr>
        <w:t>e</w:t>
      </w:r>
      <w:r w:rsidRPr="00EB7803">
        <w:rPr>
          <w:rFonts w:ascii="Times New Roman" w:hAnsi="Times New Roman" w:cs="Times New Roman"/>
          <w:sz w:val="24"/>
        </w:rPr>
        <w:t xml:space="preserve"> zm.), zwanej </w:t>
      </w:r>
      <w:r w:rsidRPr="00EB7803">
        <w:rPr>
          <w:rFonts w:ascii="Times New Roman" w:hAnsi="Times New Roman" w:cs="Times New Roman"/>
          <w:b/>
          <w:sz w:val="24"/>
        </w:rPr>
        <w:t>„ustawą wdrożeniową”</w:t>
      </w:r>
      <w:r w:rsidRPr="00EB7803">
        <w:rPr>
          <w:rFonts w:ascii="Times New Roman" w:hAnsi="Times New Roman" w:cs="Times New Roman"/>
          <w:sz w:val="24"/>
        </w:rPr>
        <w:t>;</w:t>
      </w:r>
    </w:p>
    <w:p w14:paraId="6FD542A5" w14:textId="2A005DF8" w:rsidR="008A27A8" w:rsidRPr="00EB7803" w:rsidRDefault="008C4D22" w:rsidP="00223CAE">
      <w:pPr>
        <w:numPr>
          <w:ilvl w:val="0"/>
          <w:numId w:val="10"/>
        </w:numPr>
        <w:spacing w:after="120"/>
        <w:ind w:left="714" w:hanging="357"/>
        <w:jc w:val="both"/>
        <w:rPr>
          <w:rFonts w:ascii="Times New Roman" w:hAnsi="Times New Roman" w:cs="Times New Roman"/>
          <w:sz w:val="24"/>
        </w:rPr>
      </w:pPr>
      <w:r w:rsidRPr="00EB7803">
        <w:rPr>
          <w:rFonts w:ascii="Times New Roman" w:hAnsi="Times New Roman" w:cs="Times New Roman"/>
          <w:sz w:val="24"/>
        </w:rPr>
        <w:t>umowy nr II/506/P/15012/200/16/DWP o partnerstwie przy wspólnej realizacji projektu pozakonkursowego</w:t>
      </w:r>
      <w:r w:rsidR="001E513A">
        <w:rPr>
          <w:rFonts w:ascii="Times New Roman" w:hAnsi="Times New Roman" w:cs="Times New Roman"/>
          <w:sz w:val="24"/>
        </w:rPr>
        <w:t xml:space="preserve"> pn.</w:t>
      </w:r>
      <w:r w:rsidRPr="00EB7803">
        <w:rPr>
          <w:rFonts w:ascii="Times New Roman" w:hAnsi="Times New Roman" w:cs="Times New Roman"/>
          <w:sz w:val="24"/>
        </w:rPr>
        <w:t xml:space="preserve"> „inno_LAB – Centrum analiz i pilotaży nowych instrumentów” w ramach </w:t>
      </w:r>
      <w:r w:rsidR="00EB7803">
        <w:rPr>
          <w:rFonts w:ascii="Times New Roman" w:hAnsi="Times New Roman" w:cs="Times New Roman"/>
          <w:sz w:val="24"/>
        </w:rPr>
        <w:t>2</w:t>
      </w:r>
      <w:r w:rsidR="00EB7803" w:rsidRPr="00EB7803">
        <w:rPr>
          <w:rFonts w:ascii="Times New Roman" w:hAnsi="Times New Roman" w:cs="Times New Roman"/>
          <w:sz w:val="24"/>
        </w:rPr>
        <w:t xml:space="preserve"> </w:t>
      </w:r>
      <w:r w:rsidRPr="00EB7803">
        <w:rPr>
          <w:rFonts w:ascii="Times New Roman" w:hAnsi="Times New Roman" w:cs="Times New Roman"/>
          <w:sz w:val="24"/>
        </w:rPr>
        <w:t>osi priorytetowej Wsparcie otoczenia i potencjału przedsiębiorstw do prowadzenia działalności B+R+I Program Operacyjny Inteligentny Rozwój, 2014-2020</w:t>
      </w:r>
      <w:r w:rsidR="00C9048C">
        <w:rPr>
          <w:rFonts w:ascii="Times New Roman" w:hAnsi="Times New Roman" w:cs="Times New Roman"/>
          <w:sz w:val="24"/>
        </w:rPr>
        <w:t xml:space="preserve">, zawartej dnia </w:t>
      </w:r>
      <w:r w:rsidR="006B1627">
        <w:rPr>
          <w:rFonts w:ascii="Times New Roman" w:hAnsi="Times New Roman" w:cs="Times New Roman"/>
          <w:sz w:val="24"/>
        </w:rPr>
        <w:t>22.07</w:t>
      </w:r>
      <w:r w:rsidR="00C9048C">
        <w:rPr>
          <w:rFonts w:ascii="Times New Roman" w:hAnsi="Times New Roman" w:cs="Times New Roman"/>
          <w:sz w:val="24"/>
        </w:rPr>
        <w:t>.2016 r. pomiędzy Skarbem Państwa - Ministrem Rozwoju a Polską Agencją Rozwoju Przedsiębiorczości</w:t>
      </w:r>
      <w:r w:rsidR="00EB7803">
        <w:rPr>
          <w:rFonts w:ascii="Times New Roman" w:hAnsi="Times New Roman" w:cs="Times New Roman"/>
          <w:sz w:val="24"/>
        </w:rPr>
        <w:t>.</w:t>
      </w:r>
    </w:p>
    <w:p w14:paraId="636AAD40" w14:textId="77777777" w:rsidR="00207B19" w:rsidRPr="00EB7803" w:rsidRDefault="00207B19" w:rsidP="00223CAE">
      <w:pPr>
        <w:pStyle w:val="Akapitzlist"/>
        <w:numPr>
          <w:ilvl w:val="0"/>
          <w:numId w:val="9"/>
        </w:numPr>
        <w:tabs>
          <w:tab w:val="left" w:pos="3119"/>
        </w:tabs>
        <w:spacing w:after="120"/>
        <w:contextualSpacing w:val="0"/>
        <w:jc w:val="both"/>
        <w:rPr>
          <w:rFonts w:ascii="Times New Roman" w:hAnsi="Times New Roman" w:cs="Times New Roman"/>
          <w:sz w:val="24"/>
        </w:rPr>
      </w:pPr>
      <w:r w:rsidRPr="00EB7803">
        <w:rPr>
          <w:rFonts w:ascii="Times New Roman" w:hAnsi="Times New Roman" w:cs="Times New Roman"/>
          <w:sz w:val="24"/>
        </w:rPr>
        <w:t>Nabór realizowany</w:t>
      </w:r>
      <w:r w:rsidRPr="00EB7803">
        <w:rPr>
          <w:rFonts w:ascii="Times New Roman" w:hAnsi="Times New Roman" w:cs="Times New Roman"/>
          <w:i/>
          <w:sz w:val="24"/>
        </w:rPr>
        <w:t xml:space="preserve"> </w:t>
      </w:r>
      <w:r w:rsidRPr="00EB7803">
        <w:rPr>
          <w:rFonts w:ascii="Times New Roman" w:hAnsi="Times New Roman" w:cs="Times New Roman"/>
          <w:sz w:val="24"/>
        </w:rPr>
        <w:t>jest w szczególności zgodnie z następującymi regulacjami krajowymi:</w:t>
      </w:r>
    </w:p>
    <w:p w14:paraId="0E854D17" w14:textId="77777777" w:rsidR="00207B19" w:rsidRPr="00EB7803" w:rsidRDefault="00207B19" w:rsidP="00223CAE">
      <w:pPr>
        <w:pStyle w:val="Akapitzlist"/>
        <w:widowControl w:val="0"/>
        <w:numPr>
          <w:ilvl w:val="0"/>
          <w:numId w:val="12"/>
        </w:numPr>
        <w:shd w:val="clear" w:color="auto" w:fill="FFFFFF"/>
        <w:spacing w:after="120"/>
        <w:ind w:left="851" w:hanging="425"/>
        <w:contextualSpacing w:val="0"/>
        <w:jc w:val="both"/>
        <w:rPr>
          <w:rFonts w:ascii="Times New Roman" w:hAnsi="Times New Roman" w:cs="Times New Roman"/>
          <w:sz w:val="24"/>
        </w:rPr>
      </w:pPr>
      <w:r w:rsidRPr="00EB7803">
        <w:rPr>
          <w:rFonts w:ascii="Times New Roman" w:hAnsi="Times New Roman" w:cs="Times New Roman"/>
          <w:sz w:val="24"/>
        </w:rPr>
        <w:t>Programem Operacyjnym Inteligentny Rozwój 2014-2020, zatwierdzonym decyzją Komisji Europejskiej z dnia 12 lutego 2015 r., zwanym „</w:t>
      </w:r>
      <w:r w:rsidRPr="00623463">
        <w:rPr>
          <w:rFonts w:ascii="Times New Roman" w:hAnsi="Times New Roman" w:cs="Times New Roman"/>
          <w:b/>
          <w:sz w:val="24"/>
        </w:rPr>
        <w:t>POIR</w:t>
      </w:r>
      <w:r w:rsidRPr="00EB7803">
        <w:rPr>
          <w:rFonts w:ascii="Times New Roman" w:hAnsi="Times New Roman" w:cs="Times New Roman"/>
          <w:sz w:val="24"/>
        </w:rPr>
        <w:t>”;</w:t>
      </w:r>
    </w:p>
    <w:p w14:paraId="2AEB20DB" w14:textId="77777777" w:rsidR="00207B19" w:rsidRPr="00EB7803" w:rsidRDefault="00207B19" w:rsidP="00223CAE">
      <w:pPr>
        <w:pStyle w:val="Akapitzlist"/>
        <w:widowControl w:val="0"/>
        <w:numPr>
          <w:ilvl w:val="0"/>
          <w:numId w:val="12"/>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eastAsia="Calibri" w:hAnsi="Times New Roman" w:cs="Times New Roman"/>
          <w:sz w:val="24"/>
        </w:rPr>
        <w:t>Szczegółowym Opisem Osi Priorytetowych Programu Operacyjnego Inteligentny Rozwój 2014-2020, zwanym „</w:t>
      </w:r>
      <w:r w:rsidRPr="00EB7803">
        <w:rPr>
          <w:rFonts w:ascii="Times New Roman" w:eastAsia="Calibri" w:hAnsi="Times New Roman" w:cs="Times New Roman"/>
          <w:b/>
          <w:sz w:val="24"/>
        </w:rPr>
        <w:t>SZOOP</w:t>
      </w:r>
      <w:r w:rsidRPr="00EB7803">
        <w:rPr>
          <w:rFonts w:ascii="Times New Roman" w:eastAsia="Calibri" w:hAnsi="Times New Roman" w:cs="Times New Roman"/>
          <w:sz w:val="24"/>
        </w:rPr>
        <w:t>”;</w:t>
      </w:r>
    </w:p>
    <w:p w14:paraId="19583F90" w14:textId="77777777" w:rsidR="00207B19" w:rsidRPr="00EB7803" w:rsidRDefault="00207B19" w:rsidP="00223CAE">
      <w:pPr>
        <w:pStyle w:val="Akapitzlist"/>
        <w:widowControl w:val="0"/>
        <w:numPr>
          <w:ilvl w:val="0"/>
          <w:numId w:val="12"/>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Umową Partnerstwa przyjętą przez Radę Ministrów w dniu 8 stycznia 2014 r. zatwierdzoną przez Komisję Europejską w dniu 23 maja 2014 r.;</w:t>
      </w:r>
    </w:p>
    <w:p w14:paraId="698B2E28" w14:textId="0AA24BE4" w:rsidR="00207B19" w:rsidRPr="00EB7803" w:rsidRDefault="00207B19" w:rsidP="00223CAE">
      <w:pPr>
        <w:pStyle w:val="Akapitzlist"/>
        <w:widowControl w:val="0"/>
        <w:numPr>
          <w:ilvl w:val="0"/>
          <w:numId w:val="12"/>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ustawą z dnia 9 listopada 2000 r. o utworzeniu Polskiej Agencji Rozwoju Przedsiębiorczości (Dz. U. z 201</w:t>
      </w:r>
      <w:r w:rsidR="00B76B0D">
        <w:rPr>
          <w:rFonts w:ascii="Times New Roman" w:hAnsi="Times New Roman" w:cs="Times New Roman"/>
          <w:sz w:val="24"/>
        </w:rPr>
        <w:t>8</w:t>
      </w:r>
      <w:r w:rsidRPr="00EB7803">
        <w:rPr>
          <w:rFonts w:ascii="Times New Roman" w:hAnsi="Times New Roman" w:cs="Times New Roman"/>
          <w:sz w:val="24"/>
        </w:rPr>
        <w:t xml:space="preserve"> r. poz. </w:t>
      </w:r>
      <w:r w:rsidR="00B76B0D">
        <w:rPr>
          <w:rFonts w:ascii="Times New Roman" w:hAnsi="Times New Roman" w:cs="Times New Roman"/>
          <w:sz w:val="24"/>
        </w:rPr>
        <w:t>110</w:t>
      </w:r>
      <w:r w:rsidRPr="00EB7803">
        <w:rPr>
          <w:rFonts w:ascii="Times New Roman" w:hAnsi="Times New Roman" w:cs="Times New Roman"/>
          <w:sz w:val="24"/>
        </w:rPr>
        <w:t xml:space="preserve">), zwaną </w:t>
      </w:r>
      <w:r w:rsidRPr="00EB7803">
        <w:rPr>
          <w:rFonts w:ascii="Times New Roman" w:hAnsi="Times New Roman" w:cs="Times New Roman"/>
          <w:b/>
          <w:sz w:val="24"/>
        </w:rPr>
        <w:t>„ustawą o PARP”</w:t>
      </w:r>
      <w:r w:rsidRPr="00EB7803">
        <w:rPr>
          <w:rFonts w:ascii="Times New Roman" w:hAnsi="Times New Roman" w:cs="Times New Roman"/>
          <w:sz w:val="24"/>
        </w:rPr>
        <w:t>;</w:t>
      </w:r>
    </w:p>
    <w:p w14:paraId="1B76B33D" w14:textId="03CA8238" w:rsidR="00207B19" w:rsidRPr="00EB7803" w:rsidRDefault="00207B19" w:rsidP="00223CAE">
      <w:pPr>
        <w:pStyle w:val="Akapitzlist"/>
        <w:widowControl w:val="0"/>
        <w:numPr>
          <w:ilvl w:val="0"/>
          <w:numId w:val="12"/>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ustawą z dnia 27 sierpnia 2009 r. o finansach publicznych (Dz. U. z 201</w:t>
      </w:r>
      <w:r w:rsidR="00B4275F">
        <w:rPr>
          <w:rFonts w:ascii="Times New Roman" w:hAnsi="Times New Roman" w:cs="Times New Roman"/>
          <w:sz w:val="24"/>
        </w:rPr>
        <w:t>7</w:t>
      </w:r>
      <w:r w:rsidRPr="00EB7803">
        <w:rPr>
          <w:rFonts w:ascii="Times New Roman" w:hAnsi="Times New Roman" w:cs="Times New Roman"/>
          <w:sz w:val="24"/>
        </w:rPr>
        <w:t xml:space="preserve"> r. poz. </w:t>
      </w:r>
      <w:r w:rsidR="00B4275F">
        <w:rPr>
          <w:rFonts w:ascii="Times New Roman" w:hAnsi="Times New Roman" w:cs="Times New Roman"/>
          <w:sz w:val="24"/>
        </w:rPr>
        <w:t>2077</w:t>
      </w:r>
      <w:r w:rsidRPr="00EB7803">
        <w:rPr>
          <w:rFonts w:ascii="Times New Roman" w:hAnsi="Times New Roman" w:cs="Times New Roman"/>
          <w:sz w:val="24"/>
        </w:rPr>
        <w:t>);</w:t>
      </w:r>
    </w:p>
    <w:p w14:paraId="33C6E48E" w14:textId="77777777" w:rsidR="00207B19" w:rsidRPr="00EB7803" w:rsidRDefault="00207B19" w:rsidP="00223CAE">
      <w:pPr>
        <w:pStyle w:val="Akapitzlist"/>
        <w:widowControl w:val="0"/>
        <w:numPr>
          <w:ilvl w:val="0"/>
          <w:numId w:val="12"/>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ustawą z dnia 30 kwietnia 2004 r. o postępowaniu w sprawach dotyczących pomocy publicznej ( Dz. U. z 2016 r. poz. 1808, z</w:t>
      </w:r>
      <w:r w:rsidR="00D8363A">
        <w:rPr>
          <w:rFonts w:ascii="Times New Roman" w:hAnsi="Times New Roman" w:cs="Times New Roman"/>
          <w:sz w:val="24"/>
        </w:rPr>
        <w:t>e</w:t>
      </w:r>
      <w:r w:rsidRPr="00EB7803">
        <w:rPr>
          <w:rFonts w:ascii="Times New Roman" w:hAnsi="Times New Roman" w:cs="Times New Roman"/>
          <w:sz w:val="24"/>
        </w:rPr>
        <w:t xml:space="preserve"> zm.);</w:t>
      </w:r>
    </w:p>
    <w:p w14:paraId="703AFAAB" w14:textId="63563615" w:rsidR="00207B19" w:rsidRPr="00EB7803" w:rsidRDefault="00207B19" w:rsidP="00223CAE">
      <w:pPr>
        <w:pStyle w:val="Akapitzlist"/>
        <w:widowControl w:val="0"/>
        <w:numPr>
          <w:ilvl w:val="0"/>
          <w:numId w:val="12"/>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ustawą z dnia 17 lutego 2005 r. o informatyzacji</w:t>
      </w:r>
      <w:bookmarkStart w:id="1" w:name="highlightHit_0"/>
      <w:bookmarkEnd w:id="1"/>
      <w:r w:rsidRPr="00EB7803">
        <w:rPr>
          <w:rFonts w:ascii="Times New Roman" w:hAnsi="Times New Roman" w:cs="Times New Roman"/>
          <w:sz w:val="24"/>
        </w:rPr>
        <w:t xml:space="preserve"> działalności podmiotów realizujących zadania publiczne (Dz. U. z 201</w:t>
      </w:r>
      <w:r w:rsidR="00EB7803">
        <w:rPr>
          <w:rFonts w:ascii="Times New Roman" w:hAnsi="Times New Roman" w:cs="Times New Roman"/>
          <w:sz w:val="24"/>
        </w:rPr>
        <w:t>7</w:t>
      </w:r>
      <w:r w:rsidRPr="00EB7803">
        <w:rPr>
          <w:rFonts w:ascii="Times New Roman" w:hAnsi="Times New Roman" w:cs="Times New Roman"/>
          <w:sz w:val="24"/>
        </w:rPr>
        <w:t xml:space="preserve"> r. poz. </w:t>
      </w:r>
      <w:r w:rsidR="00EB7803">
        <w:rPr>
          <w:rFonts w:ascii="Times New Roman" w:hAnsi="Times New Roman" w:cs="Times New Roman"/>
          <w:sz w:val="24"/>
        </w:rPr>
        <w:t>570</w:t>
      </w:r>
      <w:r w:rsidR="007870E4">
        <w:rPr>
          <w:rFonts w:ascii="Times New Roman" w:hAnsi="Times New Roman" w:cs="Times New Roman"/>
          <w:sz w:val="24"/>
        </w:rPr>
        <w:t>,</w:t>
      </w:r>
      <w:r w:rsidR="00EB7803" w:rsidRPr="00EB7803">
        <w:rPr>
          <w:rFonts w:ascii="Times New Roman" w:hAnsi="Times New Roman" w:cs="Times New Roman"/>
          <w:sz w:val="24"/>
        </w:rPr>
        <w:t xml:space="preserve"> </w:t>
      </w:r>
      <w:r w:rsidRPr="00EB7803">
        <w:rPr>
          <w:rFonts w:ascii="Times New Roman" w:hAnsi="Times New Roman" w:cs="Times New Roman"/>
          <w:sz w:val="24"/>
        </w:rPr>
        <w:t>z</w:t>
      </w:r>
      <w:r w:rsidR="00D8363A">
        <w:rPr>
          <w:rFonts w:ascii="Times New Roman" w:hAnsi="Times New Roman" w:cs="Times New Roman"/>
          <w:sz w:val="24"/>
        </w:rPr>
        <w:t>e</w:t>
      </w:r>
      <w:r w:rsidRPr="00EB7803">
        <w:rPr>
          <w:rFonts w:ascii="Times New Roman" w:hAnsi="Times New Roman" w:cs="Times New Roman"/>
          <w:sz w:val="24"/>
        </w:rPr>
        <w:t xml:space="preserve"> zm.);</w:t>
      </w:r>
    </w:p>
    <w:p w14:paraId="21AF5F38" w14:textId="165BDD02" w:rsidR="00207B19" w:rsidRPr="00EB7803" w:rsidRDefault="00207B19" w:rsidP="00223CAE">
      <w:pPr>
        <w:pStyle w:val="Akapitzlist"/>
        <w:widowControl w:val="0"/>
        <w:numPr>
          <w:ilvl w:val="0"/>
          <w:numId w:val="12"/>
        </w:numPr>
        <w:shd w:val="clear" w:color="auto" w:fill="FFFFFF"/>
        <w:spacing w:after="120"/>
        <w:ind w:left="850" w:hanging="425"/>
        <w:contextualSpacing w:val="0"/>
        <w:jc w:val="both"/>
        <w:rPr>
          <w:rFonts w:ascii="Times New Roman" w:hAnsi="Times New Roman" w:cs="Times New Roman"/>
          <w:sz w:val="24"/>
        </w:rPr>
      </w:pPr>
      <w:r w:rsidRPr="00EB7803">
        <w:rPr>
          <w:rFonts w:ascii="Times New Roman" w:hAnsi="Times New Roman" w:cs="Times New Roman"/>
          <w:sz w:val="24"/>
        </w:rPr>
        <w:t xml:space="preserve">rozporządzeniem Ministra Infrastruktury i Rozwoju z dnia 10 lipca 2015 r. w sprawie udzielania przez Polską Agencję Rozwoju Przedsiębiorczości pomocy finansowej w ramach Programu Operacyjnego Inteligentny Rozwój 2014-2020 (Dz. U. </w:t>
      </w:r>
      <w:r w:rsidR="007870E4">
        <w:rPr>
          <w:rFonts w:ascii="Times New Roman" w:hAnsi="Times New Roman" w:cs="Times New Roman"/>
          <w:sz w:val="24"/>
        </w:rPr>
        <w:t xml:space="preserve">z 2015 r. </w:t>
      </w:r>
      <w:r w:rsidRPr="00EB7803">
        <w:rPr>
          <w:rFonts w:ascii="Times New Roman" w:hAnsi="Times New Roman" w:cs="Times New Roman"/>
          <w:sz w:val="24"/>
        </w:rPr>
        <w:t>poz. 1027</w:t>
      </w:r>
      <w:r w:rsidR="00EB7803">
        <w:rPr>
          <w:rFonts w:ascii="Times New Roman" w:hAnsi="Times New Roman" w:cs="Times New Roman"/>
          <w:sz w:val="24"/>
        </w:rPr>
        <w:t>, z</w:t>
      </w:r>
      <w:r w:rsidR="00D8363A">
        <w:rPr>
          <w:rFonts w:ascii="Times New Roman" w:hAnsi="Times New Roman" w:cs="Times New Roman"/>
          <w:sz w:val="24"/>
        </w:rPr>
        <w:t>e</w:t>
      </w:r>
      <w:r w:rsidR="00EB7803">
        <w:rPr>
          <w:rFonts w:ascii="Times New Roman" w:hAnsi="Times New Roman" w:cs="Times New Roman"/>
          <w:sz w:val="24"/>
        </w:rPr>
        <w:t xml:space="preserve"> zm.</w:t>
      </w:r>
      <w:r w:rsidRPr="00EB7803">
        <w:rPr>
          <w:rFonts w:ascii="Times New Roman" w:hAnsi="Times New Roman" w:cs="Times New Roman"/>
          <w:sz w:val="24"/>
        </w:rPr>
        <w:t>), zwanego „</w:t>
      </w:r>
      <w:r w:rsidRPr="008138D1">
        <w:rPr>
          <w:rFonts w:ascii="Times New Roman" w:hAnsi="Times New Roman" w:cs="Times New Roman"/>
          <w:b/>
          <w:sz w:val="24"/>
        </w:rPr>
        <w:t>rozporządzeniem</w:t>
      </w:r>
      <w:r w:rsidRPr="00EB7803">
        <w:rPr>
          <w:rFonts w:ascii="Times New Roman" w:hAnsi="Times New Roman" w:cs="Times New Roman"/>
          <w:sz w:val="24"/>
        </w:rPr>
        <w:t>”</w:t>
      </w:r>
      <w:r w:rsidR="00D90FE1">
        <w:rPr>
          <w:rFonts w:ascii="Times New Roman" w:hAnsi="Times New Roman" w:cs="Times New Roman"/>
          <w:sz w:val="24"/>
        </w:rPr>
        <w:t>;</w:t>
      </w:r>
    </w:p>
    <w:p w14:paraId="62C61CEC" w14:textId="0AF25D10" w:rsidR="00207B19" w:rsidRPr="00C9048C" w:rsidRDefault="00207B19" w:rsidP="00C9048C">
      <w:pPr>
        <w:pStyle w:val="Akapitzlist"/>
        <w:widowControl w:val="0"/>
        <w:numPr>
          <w:ilvl w:val="0"/>
          <w:numId w:val="12"/>
        </w:numPr>
        <w:shd w:val="clear" w:color="auto" w:fill="FFFFFF"/>
        <w:spacing w:after="120"/>
        <w:ind w:left="850" w:hanging="425"/>
        <w:contextualSpacing w:val="0"/>
        <w:jc w:val="both"/>
        <w:rPr>
          <w:rFonts w:ascii="Times New Roman" w:hAnsi="Times New Roman" w:cs="Times New Roman"/>
          <w:sz w:val="24"/>
        </w:rPr>
      </w:pPr>
      <w:r w:rsidRPr="00C9048C">
        <w:rPr>
          <w:rFonts w:ascii="Times New Roman" w:eastAsia="Calibri" w:hAnsi="Times New Roman" w:cs="Times New Roman"/>
          <w:sz w:val="24"/>
        </w:rPr>
        <w:t>wytycznymi ministra właściwego do spraw rozwoju regionalnego w zakresie kwalifikowalności wydatków w ramach Europejskiego Funduszu Rozwoju Regionalnego,</w:t>
      </w:r>
      <w:r w:rsidRPr="00C9048C">
        <w:rPr>
          <w:rFonts w:ascii="Times New Roman" w:hAnsi="Times New Roman" w:cs="Times New Roman"/>
          <w:sz w:val="24"/>
        </w:rPr>
        <w:t xml:space="preserve"> </w:t>
      </w:r>
      <w:r w:rsidRPr="00C9048C">
        <w:rPr>
          <w:rFonts w:ascii="Times New Roman" w:eastAsia="Calibri" w:hAnsi="Times New Roman" w:cs="Times New Roman"/>
          <w:sz w:val="24"/>
        </w:rPr>
        <w:t xml:space="preserve">Europejskiego Funduszu Społecznego oraz Funduszu Spójności na lata 2014 – 2020, zwanymi </w:t>
      </w:r>
      <w:r w:rsidRPr="00C9048C">
        <w:rPr>
          <w:rFonts w:ascii="Times New Roman" w:eastAsia="Calibri" w:hAnsi="Times New Roman" w:cs="Times New Roman"/>
          <w:b/>
          <w:sz w:val="24"/>
        </w:rPr>
        <w:t>„wytycznymi w zakresie kwalifikowalności”</w:t>
      </w:r>
      <w:r w:rsidRPr="00C9048C">
        <w:rPr>
          <w:rFonts w:ascii="Times New Roman" w:eastAsia="Calibri" w:hAnsi="Times New Roman" w:cs="Times New Roman"/>
          <w:sz w:val="24"/>
        </w:rPr>
        <w:t>.</w:t>
      </w:r>
    </w:p>
    <w:p w14:paraId="65506B84" w14:textId="77777777" w:rsidR="00207B19" w:rsidRPr="00EB7803" w:rsidRDefault="00207B19" w:rsidP="00223CAE">
      <w:pPr>
        <w:pStyle w:val="Akapitzlist"/>
        <w:numPr>
          <w:ilvl w:val="0"/>
          <w:numId w:val="9"/>
        </w:numPr>
        <w:spacing w:after="120"/>
        <w:ind w:left="425" w:hanging="425"/>
        <w:contextualSpacing w:val="0"/>
        <w:jc w:val="both"/>
        <w:rPr>
          <w:rFonts w:ascii="Times New Roman" w:hAnsi="Times New Roman" w:cs="Times New Roman"/>
          <w:color w:val="000000"/>
          <w:sz w:val="24"/>
        </w:rPr>
      </w:pPr>
      <w:r w:rsidRPr="00EB7803">
        <w:rPr>
          <w:rFonts w:ascii="Times New Roman" w:hAnsi="Times New Roman" w:cs="Times New Roman"/>
          <w:sz w:val="24"/>
        </w:rPr>
        <w:t>Poddziałanie realizowane jest w szczególności zgodnie z następującymi regulacjami unijnymi:</w:t>
      </w:r>
    </w:p>
    <w:p w14:paraId="5939825D" w14:textId="44218740" w:rsidR="00207B19" w:rsidRDefault="00207B19" w:rsidP="00223CAE">
      <w:pPr>
        <w:pStyle w:val="Akapitzlist"/>
        <w:widowControl w:val="0"/>
        <w:numPr>
          <w:ilvl w:val="0"/>
          <w:numId w:val="11"/>
        </w:numPr>
        <w:shd w:val="clear" w:color="auto" w:fill="FFFFFF"/>
        <w:spacing w:after="120"/>
        <w:ind w:left="709" w:hanging="283"/>
        <w:contextualSpacing w:val="0"/>
        <w:jc w:val="both"/>
        <w:rPr>
          <w:rFonts w:ascii="Times New Roman" w:hAnsi="Times New Roman" w:cs="Times New Roman"/>
          <w:sz w:val="24"/>
        </w:rPr>
      </w:pPr>
      <w:r w:rsidRPr="00EB7803">
        <w:rPr>
          <w:rFonts w:ascii="Times New Roman" w:hAnsi="Times New Roman" w:cs="Times New Roman"/>
          <w:sz w:val="24"/>
        </w:rPr>
        <w:t xml:space="preserve">rozporządzeniem Parlamentu Europejskiego i Rady (UE) nr 1303/2013 z dnia </w:t>
      </w:r>
      <w:r w:rsidRPr="00EB7803">
        <w:rPr>
          <w:rFonts w:ascii="Times New Roman" w:hAnsi="Times New Roman" w:cs="Times New Roman"/>
          <w:sz w:val="24"/>
        </w:rPr>
        <w:br/>
      </w:r>
      <w:r w:rsidRPr="00EB7803">
        <w:rPr>
          <w:rFonts w:ascii="Times New Roman" w:hAnsi="Times New Roman" w:cs="Times New Roman"/>
          <w:sz w:val="24"/>
        </w:rPr>
        <w:lastRenderedPageBreak/>
        <w:t xml:space="preserve">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w:t>
      </w:r>
      <w:r w:rsidRPr="00EB7803">
        <w:rPr>
          <w:rFonts w:ascii="Times New Roman" w:hAnsi="Times New Roman" w:cs="Times New Roman"/>
          <w:sz w:val="24"/>
        </w:rPr>
        <w:br/>
        <w:t>i Rybackiego oraz uchylającym rozporządzenie Rady (WE) nr 1083/2006 (Dz. Urz. UE L 347 z 20.12.2013 r., str. 320</w:t>
      </w:r>
      <w:r w:rsidR="00730FAC">
        <w:rPr>
          <w:rFonts w:ascii="Times New Roman" w:hAnsi="Times New Roman" w:cs="Times New Roman"/>
          <w:sz w:val="24"/>
        </w:rPr>
        <w:t>,</w:t>
      </w:r>
      <w:r w:rsidRPr="00EB7803">
        <w:rPr>
          <w:rFonts w:ascii="Times New Roman" w:hAnsi="Times New Roman" w:cs="Times New Roman"/>
          <w:sz w:val="24"/>
        </w:rPr>
        <w:t xml:space="preserve"> z</w:t>
      </w:r>
      <w:r w:rsidR="0023620C">
        <w:rPr>
          <w:rFonts w:ascii="Times New Roman" w:hAnsi="Times New Roman" w:cs="Times New Roman"/>
          <w:sz w:val="24"/>
        </w:rPr>
        <w:t>e</w:t>
      </w:r>
      <w:r w:rsidRPr="00EB7803">
        <w:rPr>
          <w:rFonts w:ascii="Times New Roman" w:hAnsi="Times New Roman" w:cs="Times New Roman"/>
          <w:sz w:val="24"/>
        </w:rPr>
        <w:t xml:space="preserve"> zm.),</w:t>
      </w:r>
      <w:r w:rsidRPr="00EB7803">
        <w:rPr>
          <w:rFonts w:ascii="Times New Roman" w:eastAsia="Calibri" w:hAnsi="Times New Roman" w:cs="Times New Roman"/>
          <w:sz w:val="24"/>
        </w:rPr>
        <w:t xml:space="preserve"> zwanym </w:t>
      </w:r>
      <w:r w:rsidRPr="00EB7803">
        <w:rPr>
          <w:rFonts w:ascii="Times New Roman" w:eastAsia="Calibri" w:hAnsi="Times New Roman" w:cs="Times New Roman"/>
          <w:b/>
          <w:sz w:val="24"/>
        </w:rPr>
        <w:t>„rozporządzeniem nr 1303/2013”</w:t>
      </w:r>
      <w:r w:rsidRPr="00EB7803">
        <w:rPr>
          <w:rFonts w:ascii="Times New Roman" w:hAnsi="Times New Roman" w:cs="Times New Roman"/>
          <w:sz w:val="24"/>
        </w:rPr>
        <w:t>;</w:t>
      </w:r>
    </w:p>
    <w:p w14:paraId="0E4B1AB5" w14:textId="77777777" w:rsidR="00A54917" w:rsidRPr="000171FA" w:rsidRDefault="00A54917" w:rsidP="00223CAE">
      <w:pPr>
        <w:pStyle w:val="Akapitzlist"/>
        <w:widowControl w:val="0"/>
        <w:numPr>
          <w:ilvl w:val="0"/>
          <w:numId w:val="11"/>
        </w:numPr>
        <w:shd w:val="clear" w:color="auto" w:fill="FFFFFF"/>
        <w:spacing w:after="120"/>
        <w:ind w:left="709" w:hanging="283"/>
        <w:contextualSpacing w:val="0"/>
        <w:jc w:val="both"/>
        <w:rPr>
          <w:rFonts w:ascii="Times New Roman" w:hAnsi="Times New Roman" w:cs="Times New Roman"/>
          <w:sz w:val="24"/>
          <w:szCs w:val="24"/>
        </w:rPr>
      </w:pPr>
      <w:r w:rsidRPr="000171FA">
        <w:rPr>
          <w:rFonts w:ascii="Times New Roman" w:hAnsi="Times New Roman" w:cs="Times New Roman"/>
          <w:sz w:val="24"/>
          <w:szCs w:val="24"/>
        </w:rPr>
        <w:t xml:space="preserve">rozporządzeniem Parlamentu Europejskiego i Rady (UE) nr 1301/2013 z dnia </w:t>
      </w:r>
      <w:r w:rsidRPr="000171FA">
        <w:rPr>
          <w:rFonts w:ascii="Times New Roman" w:hAnsi="Times New Roman" w:cs="Times New Roman"/>
          <w:sz w:val="24"/>
          <w:szCs w:val="24"/>
        </w:rPr>
        <w:br/>
        <w:t xml:space="preserve">17 grudnia 2013 r. w sprawie Europejskiego Funduszu Rozwoju Regionalnego </w:t>
      </w:r>
      <w:r w:rsidRPr="000171FA">
        <w:rPr>
          <w:rFonts w:ascii="Times New Roman" w:hAnsi="Times New Roman" w:cs="Times New Roman"/>
          <w:sz w:val="24"/>
          <w:szCs w:val="24"/>
        </w:rPr>
        <w:br/>
        <w:t xml:space="preserve">i przepisów szczególnych dotyczących celu „Inwestycje na rzecz wzrostu </w:t>
      </w:r>
      <w:r w:rsidRPr="000171FA">
        <w:rPr>
          <w:rFonts w:ascii="Times New Roman" w:hAnsi="Times New Roman" w:cs="Times New Roman"/>
          <w:sz w:val="24"/>
          <w:szCs w:val="24"/>
        </w:rPr>
        <w:br/>
        <w:t xml:space="preserve">i zatrudnienia” oraz w sprawie uchylenia rozporządzenia (WE) nr 1080/2006 (Dz. Urz. UE L 347 z 20.12.2013 r., str. 289), </w:t>
      </w:r>
      <w:r w:rsidRPr="000171FA">
        <w:rPr>
          <w:rFonts w:ascii="Times New Roman" w:eastAsia="Calibri" w:hAnsi="Times New Roman" w:cs="Times New Roman"/>
          <w:sz w:val="24"/>
          <w:szCs w:val="24"/>
        </w:rPr>
        <w:t>zwanym „</w:t>
      </w:r>
      <w:r w:rsidRPr="000171FA">
        <w:rPr>
          <w:rFonts w:ascii="Times New Roman" w:eastAsia="Calibri" w:hAnsi="Times New Roman" w:cs="Times New Roman"/>
          <w:b/>
          <w:sz w:val="24"/>
          <w:szCs w:val="24"/>
        </w:rPr>
        <w:t>rozporządzeniem nr 1301/2013”</w:t>
      </w:r>
      <w:r w:rsidRPr="000171FA">
        <w:rPr>
          <w:rFonts w:ascii="Times New Roman" w:hAnsi="Times New Roman" w:cs="Times New Roman"/>
          <w:sz w:val="24"/>
          <w:szCs w:val="24"/>
        </w:rPr>
        <w:t>;</w:t>
      </w:r>
    </w:p>
    <w:p w14:paraId="724C3AF6" w14:textId="77777777" w:rsidR="00207B19" w:rsidRPr="00EB7803" w:rsidRDefault="00207B19" w:rsidP="00223CAE">
      <w:pPr>
        <w:pStyle w:val="Akapitzlist"/>
        <w:widowControl w:val="0"/>
        <w:numPr>
          <w:ilvl w:val="0"/>
          <w:numId w:val="11"/>
        </w:numPr>
        <w:shd w:val="clear" w:color="auto" w:fill="FFFFFF"/>
        <w:spacing w:after="120"/>
        <w:ind w:left="709" w:hanging="283"/>
        <w:contextualSpacing w:val="0"/>
        <w:jc w:val="both"/>
        <w:rPr>
          <w:rFonts w:ascii="Times New Roman" w:hAnsi="Times New Roman" w:cs="Times New Roman"/>
          <w:sz w:val="24"/>
        </w:rPr>
      </w:pPr>
      <w:r w:rsidRPr="00EB7803">
        <w:rPr>
          <w:rFonts w:ascii="Times New Roman" w:hAnsi="Times New Roman" w:cs="Times New Roman"/>
          <w:sz w:val="24"/>
        </w:rPr>
        <w:t>rozporządzeniem Komisji (UE) nr 651/2014 z dnia 17 czerwca 2014 r. uznającym niektóre rodzaje pomocy za zgodne z rynkiem wewnętrznym w zastosowaniu art. 107 i 108 Traktatu (Dz. Urz. UE L 187 z 26.06.2014 r., str. 1</w:t>
      </w:r>
      <w:r w:rsidR="00EB7803">
        <w:rPr>
          <w:rFonts w:ascii="Times New Roman" w:hAnsi="Times New Roman" w:cs="Times New Roman"/>
          <w:sz w:val="24"/>
        </w:rPr>
        <w:t>, z</w:t>
      </w:r>
      <w:r w:rsidR="0023620C">
        <w:rPr>
          <w:rFonts w:ascii="Times New Roman" w:hAnsi="Times New Roman" w:cs="Times New Roman"/>
          <w:sz w:val="24"/>
        </w:rPr>
        <w:t>e</w:t>
      </w:r>
      <w:r w:rsidR="00EB7803">
        <w:rPr>
          <w:rFonts w:ascii="Times New Roman" w:hAnsi="Times New Roman" w:cs="Times New Roman"/>
          <w:sz w:val="24"/>
        </w:rPr>
        <w:t xml:space="preserve"> zm.</w:t>
      </w:r>
      <w:r w:rsidRPr="00EB7803">
        <w:rPr>
          <w:rFonts w:ascii="Times New Roman" w:hAnsi="Times New Roman" w:cs="Times New Roman"/>
          <w:sz w:val="24"/>
        </w:rPr>
        <w:t>), zwanym „</w:t>
      </w:r>
      <w:r w:rsidRPr="00EB7803">
        <w:rPr>
          <w:rFonts w:ascii="Times New Roman" w:hAnsi="Times New Roman" w:cs="Times New Roman"/>
          <w:b/>
          <w:sz w:val="24"/>
        </w:rPr>
        <w:t>rozporządzeniem KE nr 651/2014</w:t>
      </w:r>
      <w:r w:rsidRPr="00EB7803">
        <w:rPr>
          <w:rFonts w:ascii="Times New Roman" w:hAnsi="Times New Roman" w:cs="Times New Roman"/>
          <w:sz w:val="24"/>
        </w:rPr>
        <w:t>”;</w:t>
      </w:r>
    </w:p>
    <w:p w14:paraId="717EEBD2" w14:textId="0EE8E391" w:rsidR="00207B19" w:rsidRPr="00EB7803" w:rsidRDefault="00207B19" w:rsidP="00223CAE">
      <w:pPr>
        <w:numPr>
          <w:ilvl w:val="0"/>
          <w:numId w:val="11"/>
        </w:numPr>
        <w:spacing w:after="120"/>
        <w:jc w:val="both"/>
        <w:rPr>
          <w:rFonts w:ascii="Times New Roman" w:eastAsia="Calibri" w:hAnsi="Times New Roman" w:cs="Times New Roman"/>
          <w:sz w:val="24"/>
        </w:rPr>
      </w:pPr>
      <w:r w:rsidRPr="00EB7803">
        <w:rPr>
          <w:rFonts w:ascii="Times New Roman" w:eastAsia="Calibri" w:hAnsi="Times New Roman" w:cs="Times New Roman"/>
          <w:sz w:val="24"/>
        </w:rPr>
        <w:t xml:space="preserve">rozporządzeniem Komisji (UE) nr 1407/2013 z dnia 18 grudnia 2013 r. w sprawie stosowania art. 107 i 108 Traktatu o funkcjonowaniu Unii Europejskiej do </w:t>
      </w:r>
      <w:r w:rsidRPr="00EB7803">
        <w:rPr>
          <w:rFonts w:ascii="Times New Roman" w:eastAsia="Calibri" w:hAnsi="Times New Roman" w:cs="Times New Roman"/>
          <w:i/>
          <w:sz w:val="24"/>
        </w:rPr>
        <w:t>pomocy de minimis</w:t>
      </w:r>
      <w:r w:rsidRPr="00EB7803">
        <w:rPr>
          <w:rFonts w:ascii="Times New Roman" w:eastAsia="Calibri" w:hAnsi="Times New Roman" w:cs="Times New Roman"/>
          <w:i/>
          <w:iCs/>
          <w:sz w:val="24"/>
        </w:rPr>
        <w:t xml:space="preserve"> </w:t>
      </w:r>
      <w:r w:rsidRPr="00EB7803">
        <w:rPr>
          <w:rFonts w:ascii="Times New Roman" w:eastAsia="Calibri" w:hAnsi="Times New Roman" w:cs="Times New Roman"/>
          <w:sz w:val="24"/>
        </w:rPr>
        <w:t>(Dz. Urz. UE L 352 z 24.12.2013 r., str. 1), zwanym „</w:t>
      </w:r>
      <w:r w:rsidRPr="00EB7803">
        <w:rPr>
          <w:rFonts w:ascii="Times New Roman" w:eastAsia="Calibri" w:hAnsi="Times New Roman" w:cs="Times New Roman"/>
          <w:b/>
          <w:sz w:val="24"/>
        </w:rPr>
        <w:t>rozporządzeniem KE nr 1407/2013</w:t>
      </w:r>
      <w:r w:rsidRPr="00EB7803">
        <w:rPr>
          <w:rFonts w:ascii="Times New Roman" w:eastAsia="Calibri" w:hAnsi="Times New Roman" w:cs="Times New Roman"/>
          <w:sz w:val="24"/>
        </w:rPr>
        <w:t>”</w:t>
      </w:r>
      <w:r w:rsidR="00730FAC">
        <w:rPr>
          <w:rFonts w:ascii="Times New Roman" w:eastAsia="Calibri" w:hAnsi="Times New Roman" w:cs="Times New Roman"/>
          <w:sz w:val="24"/>
        </w:rPr>
        <w:t>.</w:t>
      </w:r>
    </w:p>
    <w:p w14:paraId="2D29CC41" w14:textId="77777777" w:rsidR="001C418B" w:rsidRPr="00CC7265" w:rsidRDefault="001C418B" w:rsidP="000E2991">
      <w:pPr>
        <w:pStyle w:val="Default"/>
        <w:spacing w:before="120" w:after="120" w:line="271" w:lineRule="auto"/>
        <w:jc w:val="both"/>
        <w:rPr>
          <w:color w:val="auto"/>
        </w:rPr>
      </w:pPr>
    </w:p>
    <w:p w14:paraId="378DA1EC" w14:textId="77777777" w:rsidR="00B47007" w:rsidRPr="00CC7265" w:rsidRDefault="00207B19" w:rsidP="000E2991">
      <w:pPr>
        <w:pStyle w:val="Default"/>
        <w:spacing w:before="120" w:after="120" w:line="271" w:lineRule="auto"/>
        <w:jc w:val="center"/>
        <w:rPr>
          <w:color w:val="auto"/>
        </w:rPr>
      </w:pPr>
      <w:r w:rsidRPr="00CC7265">
        <w:rPr>
          <w:b/>
          <w:bCs/>
          <w:color w:val="auto"/>
        </w:rPr>
        <w:t>§ 2</w:t>
      </w:r>
      <w:r w:rsidR="00B47007" w:rsidRPr="00CC7265">
        <w:rPr>
          <w:b/>
          <w:bCs/>
          <w:color w:val="auto"/>
        </w:rPr>
        <w:t>.</w:t>
      </w:r>
    </w:p>
    <w:p w14:paraId="4F899913" w14:textId="77777777" w:rsidR="00B47007" w:rsidRPr="00CC7265" w:rsidRDefault="00B47007" w:rsidP="00D73DB0">
      <w:pPr>
        <w:pStyle w:val="Default"/>
        <w:spacing w:before="120" w:after="120" w:line="271" w:lineRule="auto"/>
        <w:jc w:val="center"/>
        <w:rPr>
          <w:color w:val="auto"/>
        </w:rPr>
      </w:pPr>
      <w:r w:rsidRPr="00CC7265">
        <w:rPr>
          <w:b/>
          <w:bCs/>
          <w:color w:val="auto"/>
        </w:rPr>
        <w:t>Definicje</w:t>
      </w:r>
    </w:p>
    <w:p w14:paraId="6CC24C89" w14:textId="6306E286" w:rsidR="00B47007" w:rsidRPr="00CC7265" w:rsidRDefault="00B47007" w:rsidP="000E2991">
      <w:pPr>
        <w:pStyle w:val="Default"/>
        <w:spacing w:before="120" w:after="120" w:line="271" w:lineRule="auto"/>
        <w:jc w:val="both"/>
        <w:rPr>
          <w:color w:val="auto"/>
        </w:rPr>
      </w:pPr>
      <w:r w:rsidRPr="00CC7265">
        <w:rPr>
          <w:color w:val="auto"/>
        </w:rPr>
        <w:t xml:space="preserve">Ilekroć w </w:t>
      </w:r>
      <w:r w:rsidR="00F37866">
        <w:rPr>
          <w:color w:val="auto"/>
        </w:rPr>
        <w:t>niniejszym r</w:t>
      </w:r>
      <w:r w:rsidRPr="00CC7265">
        <w:rPr>
          <w:color w:val="auto"/>
        </w:rPr>
        <w:t>egulaminie</w:t>
      </w:r>
      <w:r w:rsidR="00983BED">
        <w:rPr>
          <w:color w:val="auto"/>
        </w:rPr>
        <w:t xml:space="preserve"> (zwanym dalej: „Regulaminem naboru”)</w:t>
      </w:r>
      <w:r w:rsidRPr="00CC7265">
        <w:rPr>
          <w:color w:val="auto"/>
        </w:rPr>
        <w:t xml:space="preserve"> mowa jest o: </w:t>
      </w:r>
    </w:p>
    <w:p w14:paraId="74FF0D6A" w14:textId="573C2704" w:rsidR="00B47007" w:rsidRDefault="00422A98" w:rsidP="00223CAE">
      <w:pPr>
        <w:pStyle w:val="Default"/>
        <w:numPr>
          <w:ilvl w:val="0"/>
          <w:numId w:val="3"/>
        </w:numPr>
        <w:spacing w:before="120" w:after="120" w:line="271" w:lineRule="auto"/>
        <w:ind w:left="567" w:hanging="501"/>
        <w:jc w:val="both"/>
        <w:rPr>
          <w:color w:val="auto"/>
        </w:rPr>
      </w:pPr>
      <w:r>
        <w:rPr>
          <w:b/>
          <w:color w:val="auto"/>
        </w:rPr>
        <w:t>PARP</w:t>
      </w:r>
      <w:r w:rsidR="008D6D72">
        <w:rPr>
          <w:b/>
          <w:color w:val="auto"/>
        </w:rPr>
        <w:t xml:space="preserve"> </w:t>
      </w:r>
      <w:r w:rsidR="00B47007" w:rsidRPr="00CC7265">
        <w:rPr>
          <w:color w:val="auto"/>
        </w:rPr>
        <w:t xml:space="preserve">– należy przez to rozumieć Polską Agencję Rozwoju Przedsiębiorczości; </w:t>
      </w:r>
    </w:p>
    <w:p w14:paraId="21130758" w14:textId="2A2B338E" w:rsidR="00FD5FA9" w:rsidRDefault="006F31DE" w:rsidP="00223CAE">
      <w:pPr>
        <w:pStyle w:val="Default"/>
        <w:numPr>
          <w:ilvl w:val="0"/>
          <w:numId w:val="3"/>
        </w:numPr>
        <w:spacing w:before="120" w:after="120" w:line="271" w:lineRule="auto"/>
        <w:ind w:left="567" w:hanging="501"/>
        <w:jc w:val="both"/>
        <w:rPr>
          <w:color w:val="auto"/>
        </w:rPr>
      </w:pPr>
      <w:r w:rsidRPr="002B25C3">
        <w:rPr>
          <w:b/>
          <w:color w:val="auto"/>
        </w:rPr>
        <w:t>Centrum Analiz i Pilotaży nowych instrumentów inno_LAB</w:t>
      </w:r>
      <w:r w:rsidRPr="002B25C3">
        <w:rPr>
          <w:color w:val="auto"/>
        </w:rPr>
        <w:t xml:space="preserve"> – należy przez to rozumieć projekt pozakonkursowy realizowany w ramach 2.4.1 PO IR przez Partnerów, tj. Ministerstwo Rozwoju i Polską Agencję Rozwoju Przedsiębiorczości</w:t>
      </w:r>
      <w:r w:rsidR="003D6563">
        <w:rPr>
          <w:color w:val="auto"/>
        </w:rPr>
        <w:t>;</w:t>
      </w:r>
    </w:p>
    <w:p w14:paraId="1AB8DF1B" w14:textId="566592C5" w:rsidR="000171FA" w:rsidRDefault="000171FA" w:rsidP="00223CAE">
      <w:pPr>
        <w:pStyle w:val="Default"/>
        <w:numPr>
          <w:ilvl w:val="0"/>
          <w:numId w:val="3"/>
        </w:numPr>
        <w:spacing w:before="120" w:after="120" w:line="271" w:lineRule="auto"/>
        <w:ind w:left="567" w:hanging="501"/>
        <w:jc w:val="both"/>
        <w:rPr>
          <w:color w:val="auto"/>
        </w:rPr>
      </w:pPr>
      <w:r>
        <w:rPr>
          <w:b/>
          <w:color w:val="auto"/>
        </w:rPr>
        <w:t>dni</w:t>
      </w:r>
      <w:r w:rsidR="00F2698A">
        <w:rPr>
          <w:b/>
          <w:color w:val="auto"/>
        </w:rPr>
        <w:t>ach</w:t>
      </w:r>
      <w:r>
        <w:rPr>
          <w:b/>
          <w:color w:val="auto"/>
        </w:rPr>
        <w:t xml:space="preserve"> robocz</w:t>
      </w:r>
      <w:r w:rsidR="00F2698A">
        <w:rPr>
          <w:b/>
          <w:color w:val="auto"/>
        </w:rPr>
        <w:t>ych</w:t>
      </w:r>
      <w:r>
        <w:rPr>
          <w:b/>
          <w:color w:val="auto"/>
        </w:rPr>
        <w:t xml:space="preserve"> </w:t>
      </w:r>
      <w:r>
        <w:rPr>
          <w:color w:val="auto"/>
        </w:rPr>
        <w:t>– dni z wyłączeniem sobót i dni ustawowo wolnych od pracy;</w:t>
      </w:r>
    </w:p>
    <w:p w14:paraId="4153DE28" w14:textId="3751924C" w:rsidR="000171FA" w:rsidRPr="000171FA" w:rsidRDefault="000171FA" w:rsidP="00223CAE">
      <w:pPr>
        <w:pStyle w:val="Default"/>
        <w:numPr>
          <w:ilvl w:val="0"/>
          <w:numId w:val="3"/>
        </w:numPr>
        <w:spacing w:before="120" w:after="120" w:line="271" w:lineRule="auto"/>
        <w:ind w:left="567" w:hanging="501"/>
        <w:jc w:val="both"/>
        <w:rPr>
          <w:color w:val="auto"/>
        </w:rPr>
      </w:pPr>
      <w:r w:rsidRPr="000171FA">
        <w:rPr>
          <w:b/>
          <w:color w:val="auto"/>
        </w:rPr>
        <w:t>Generator</w:t>
      </w:r>
      <w:r w:rsidR="00F2698A">
        <w:rPr>
          <w:b/>
          <w:color w:val="auto"/>
        </w:rPr>
        <w:t>ze</w:t>
      </w:r>
      <w:r w:rsidRPr="000171FA">
        <w:rPr>
          <w:b/>
          <w:color w:val="auto"/>
        </w:rPr>
        <w:t xml:space="preserve"> Wniosków</w:t>
      </w:r>
      <w:r w:rsidR="00E328E2">
        <w:rPr>
          <w:b/>
          <w:color w:val="auto"/>
        </w:rPr>
        <w:t xml:space="preserve"> </w:t>
      </w:r>
      <w:r w:rsidR="000C4C3C">
        <w:rPr>
          <w:b/>
          <w:color w:val="auto"/>
        </w:rPr>
        <w:t>(GW)</w:t>
      </w:r>
      <w:r w:rsidRPr="000171FA">
        <w:rPr>
          <w:color w:val="auto"/>
        </w:rPr>
        <w:t xml:space="preserve"> – narzędzie </w:t>
      </w:r>
      <w:r w:rsidRPr="0065130F">
        <w:rPr>
          <w:color w:val="auto"/>
        </w:rPr>
        <w:t xml:space="preserve">informatyczne </w:t>
      </w:r>
      <w:r w:rsidRPr="000171FA">
        <w:rPr>
          <w:rFonts w:eastAsia="Calibri"/>
        </w:rPr>
        <w:t xml:space="preserve">udostępnione za pośrednictwem strony internetowej </w:t>
      </w:r>
      <w:r w:rsidR="00A43677">
        <w:rPr>
          <w:rFonts w:eastAsia="Calibri"/>
        </w:rPr>
        <w:t>PARP</w:t>
      </w:r>
      <w:r w:rsidR="004B3CFC">
        <w:rPr>
          <w:rFonts w:eastAsia="Calibri"/>
        </w:rPr>
        <w:t xml:space="preserve"> </w:t>
      </w:r>
      <w:r w:rsidRPr="000171FA">
        <w:rPr>
          <w:rFonts w:eastAsia="Calibri"/>
        </w:rPr>
        <w:t xml:space="preserve">umożliwiające </w:t>
      </w:r>
      <w:r w:rsidR="0047503E">
        <w:rPr>
          <w:rFonts w:eastAsia="Calibri"/>
        </w:rPr>
        <w:t>wnioskodawcy</w:t>
      </w:r>
      <w:r w:rsidR="0047503E" w:rsidRPr="000171FA">
        <w:rPr>
          <w:rFonts w:eastAsia="Calibri"/>
        </w:rPr>
        <w:t xml:space="preserve"> </w:t>
      </w:r>
      <w:r w:rsidRPr="000171FA">
        <w:rPr>
          <w:rFonts w:eastAsia="Calibri"/>
        </w:rPr>
        <w:t xml:space="preserve">utworzenie indywidualnego profilu w systemie informatycznym </w:t>
      </w:r>
      <w:r w:rsidR="00A43677">
        <w:rPr>
          <w:rFonts w:eastAsia="Calibri"/>
        </w:rPr>
        <w:t xml:space="preserve">PARP </w:t>
      </w:r>
      <w:r w:rsidRPr="000171FA">
        <w:rPr>
          <w:rFonts w:eastAsia="Calibri"/>
        </w:rPr>
        <w:t xml:space="preserve">oraz złożenie </w:t>
      </w:r>
      <w:r w:rsidRPr="008B6BD0">
        <w:rPr>
          <w:rFonts w:eastAsia="Calibri"/>
        </w:rPr>
        <w:t>wniosku o powierzenie</w:t>
      </w:r>
      <w:r w:rsidRPr="000171FA">
        <w:rPr>
          <w:rFonts w:eastAsia="Calibri"/>
        </w:rPr>
        <w:t xml:space="preserve"> grantu w ramach naboru;</w:t>
      </w:r>
    </w:p>
    <w:p w14:paraId="497E8C15" w14:textId="13A1E31F" w:rsidR="006F2438" w:rsidRPr="00CC7265" w:rsidRDefault="006F2438" w:rsidP="00223CAE">
      <w:pPr>
        <w:pStyle w:val="Default"/>
        <w:numPr>
          <w:ilvl w:val="0"/>
          <w:numId w:val="3"/>
        </w:numPr>
        <w:spacing w:before="120" w:after="120" w:line="271" w:lineRule="auto"/>
        <w:ind w:left="567" w:hanging="501"/>
        <w:jc w:val="both"/>
        <w:rPr>
          <w:color w:val="auto"/>
        </w:rPr>
      </w:pPr>
      <w:r w:rsidRPr="00CC7265">
        <w:rPr>
          <w:b/>
          <w:color w:val="auto"/>
        </w:rPr>
        <w:t>grancie</w:t>
      </w:r>
      <w:r w:rsidRPr="00CC7265">
        <w:rPr>
          <w:color w:val="auto"/>
        </w:rPr>
        <w:t xml:space="preserve"> – </w:t>
      </w:r>
      <w:r w:rsidR="00CF706F" w:rsidRPr="00CC7265">
        <w:rPr>
          <w:color w:val="auto"/>
        </w:rPr>
        <w:t>należy przez to rozumieć</w:t>
      </w:r>
      <w:r w:rsidR="00CF706F">
        <w:rPr>
          <w:color w:val="auto"/>
        </w:rPr>
        <w:t xml:space="preserve"> środki finansowe programu operacyjnego, które </w:t>
      </w:r>
      <w:r w:rsidR="008D6D72">
        <w:rPr>
          <w:color w:val="auto"/>
        </w:rPr>
        <w:t>PARP</w:t>
      </w:r>
      <w:r w:rsidR="00CF706F">
        <w:rPr>
          <w:color w:val="auto"/>
        </w:rPr>
        <w:t xml:space="preserve"> powierzył</w:t>
      </w:r>
      <w:r w:rsidR="008D6D72">
        <w:rPr>
          <w:color w:val="auto"/>
        </w:rPr>
        <w:t>a</w:t>
      </w:r>
      <w:r w:rsidR="00CF706F">
        <w:rPr>
          <w:color w:val="auto"/>
        </w:rPr>
        <w:t xml:space="preserve"> grantobiorcy na realizację zadań służących osiągnięciu celu tego projektu przez grantobiorców</w:t>
      </w:r>
      <w:r w:rsidR="008B6BD0">
        <w:rPr>
          <w:color w:val="auto"/>
        </w:rPr>
        <w:t>;</w:t>
      </w:r>
    </w:p>
    <w:p w14:paraId="16D0DC85" w14:textId="4E6F2062" w:rsidR="006F2438" w:rsidRPr="00CC7265" w:rsidRDefault="000C6552" w:rsidP="00223CAE">
      <w:pPr>
        <w:pStyle w:val="Default"/>
        <w:numPr>
          <w:ilvl w:val="0"/>
          <w:numId w:val="3"/>
        </w:numPr>
        <w:spacing w:before="120" w:after="120" w:line="271" w:lineRule="auto"/>
        <w:ind w:left="567" w:hanging="501"/>
        <w:jc w:val="both"/>
        <w:rPr>
          <w:color w:val="auto"/>
        </w:rPr>
      </w:pPr>
      <w:r w:rsidRPr="00CC7265">
        <w:rPr>
          <w:b/>
          <w:color w:val="auto"/>
        </w:rPr>
        <w:lastRenderedPageBreak/>
        <w:t>grantobiorcy</w:t>
      </w:r>
      <w:r w:rsidRPr="00CC7265">
        <w:rPr>
          <w:color w:val="auto"/>
        </w:rPr>
        <w:t xml:space="preserve"> – należy przez to rozumieć </w:t>
      </w:r>
      <w:r>
        <w:rPr>
          <w:color w:val="auto"/>
        </w:rPr>
        <w:t>podmiot publiczny</w:t>
      </w:r>
      <w:r w:rsidRPr="00CC7265">
        <w:rPr>
          <w:color w:val="auto"/>
        </w:rPr>
        <w:t xml:space="preserve"> </w:t>
      </w:r>
      <w:r>
        <w:rPr>
          <w:color w:val="auto"/>
        </w:rPr>
        <w:t xml:space="preserve">albo prywatny, inny niż </w:t>
      </w:r>
      <w:r w:rsidR="00B75410">
        <w:rPr>
          <w:color w:val="auto"/>
        </w:rPr>
        <w:t>PARP</w:t>
      </w:r>
      <w:r>
        <w:rPr>
          <w:color w:val="auto"/>
        </w:rPr>
        <w:t xml:space="preserve">, wybrany w drodze otwartego naboru ogłoszonego przez </w:t>
      </w:r>
      <w:r w:rsidR="00B75410">
        <w:rPr>
          <w:color w:val="auto"/>
        </w:rPr>
        <w:t>PARP</w:t>
      </w:r>
      <w:r>
        <w:rPr>
          <w:color w:val="auto"/>
        </w:rPr>
        <w:t xml:space="preserve"> w ramach realizacji projektu grantowego</w:t>
      </w:r>
      <w:r w:rsidR="006F2438" w:rsidRPr="00CC7265">
        <w:rPr>
          <w:color w:val="auto"/>
        </w:rPr>
        <w:t xml:space="preserve">; </w:t>
      </w:r>
    </w:p>
    <w:p w14:paraId="57EC6B61" w14:textId="77777777" w:rsidR="00EE1F16" w:rsidRPr="00FD5FA9" w:rsidRDefault="00EE1F16" w:rsidP="00EE1F16">
      <w:pPr>
        <w:pStyle w:val="Default"/>
        <w:numPr>
          <w:ilvl w:val="0"/>
          <w:numId w:val="3"/>
        </w:numPr>
        <w:spacing w:before="120" w:after="120" w:line="271" w:lineRule="auto"/>
        <w:ind w:left="567" w:hanging="501"/>
        <w:jc w:val="both"/>
        <w:rPr>
          <w:color w:val="auto"/>
        </w:rPr>
      </w:pPr>
      <w:r>
        <w:rPr>
          <w:b/>
          <w:color w:val="auto"/>
        </w:rPr>
        <w:t>Informatorium</w:t>
      </w:r>
      <w:r w:rsidRPr="00FD5FA9">
        <w:rPr>
          <w:b/>
          <w:color w:val="auto"/>
        </w:rPr>
        <w:t xml:space="preserve"> PARP </w:t>
      </w:r>
      <w:r w:rsidRPr="00FD5FA9">
        <w:rPr>
          <w:color w:val="auto"/>
        </w:rPr>
        <w:t xml:space="preserve">– </w:t>
      </w:r>
      <w:r>
        <w:rPr>
          <w:color w:val="auto"/>
        </w:rPr>
        <w:t xml:space="preserve">należy przez to rozumieć </w:t>
      </w:r>
      <w:r w:rsidRPr="0084086E">
        <w:rPr>
          <w:color w:val="auto"/>
        </w:rPr>
        <w:t>zakładk</w:t>
      </w:r>
      <w:r>
        <w:rPr>
          <w:color w:val="auto"/>
        </w:rPr>
        <w:t>ę</w:t>
      </w:r>
      <w:r w:rsidRPr="0084086E">
        <w:rPr>
          <w:color w:val="auto"/>
        </w:rPr>
        <w:t xml:space="preserve"> na </w:t>
      </w:r>
      <w:r w:rsidRPr="00F55C17">
        <w:rPr>
          <w:color w:val="auto"/>
        </w:rPr>
        <w:t xml:space="preserve">stronie internetowej </w:t>
      </w:r>
      <w:hyperlink r:id="rId9" w:history="1">
        <w:r w:rsidRPr="00053D49">
          <w:rPr>
            <w:color w:val="auto"/>
          </w:rPr>
          <w:t>http://poir.parp.gov.pl/</w:t>
        </w:r>
      </w:hyperlink>
      <w:r w:rsidRPr="0084086E">
        <w:rPr>
          <w:color w:val="auto"/>
        </w:rPr>
        <w:t xml:space="preserve">, w której zamieszczone są informacje pomocnicze w zakresie </w:t>
      </w:r>
      <w:r w:rsidRPr="005A0D81">
        <w:rPr>
          <w:color w:val="auto"/>
        </w:rPr>
        <w:t>procedury naboru</w:t>
      </w:r>
      <w:r w:rsidRPr="00FD5FA9">
        <w:rPr>
          <w:color w:val="auto"/>
        </w:rPr>
        <w:t>;</w:t>
      </w:r>
    </w:p>
    <w:p w14:paraId="65A89A74" w14:textId="77777777" w:rsidR="00147333" w:rsidRDefault="003E51A6" w:rsidP="00223CAE">
      <w:pPr>
        <w:pStyle w:val="Default"/>
        <w:numPr>
          <w:ilvl w:val="0"/>
          <w:numId w:val="3"/>
        </w:numPr>
        <w:spacing w:before="120" w:after="120" w:line="271" w:lineRule="auto"/>
        <w:ind w:left="567" w:hanging="501"/>
        <w:jc w:val="both"/>
        <w:rPr>
          <w:color w:val="auto"/>
        </w:rPr>
      </w:pPr>
      <w:r w:rsidRPr="00CC7265">
        <w:rPr>
          <w:b/>
          <w:color w:val="auto"/>
        </w:rPr>
        <w:t xml:space="preserve">mikroprzedsiębiorcy, </w:t>
      </w:r>
      <w:r w:rsidR="00B47007" w:rsidRPr="00CC7265">
        <w:rPr>
          <w:b/>
          <w:color w:val="auto"/>
        </w:rPr>
        <w:t xml:space="preserve">małym </w:t>
      </w:r>
      <w:r w:rsidRPr="00CC7265">
        <w:rPr>
          <w:b/>
          <w:color w:val="auto"/>
        </w:rPr>
        <w:t xml:space="preserve">lub średnim </w:t>
      </w:r>
      <w:r w:rsidR="00B47007" w:rsidRPr="00CC7265">
        <w:rPr>
          <w:b/>
          <w:color w:val="auto"/>
        </w:rPr>
        <w:t>przedsiębiorcy</w:t>
      </w:r>
      <w:r w:rsidR="00186B8B" w:rsidRPr="00CC7265">
        <w:rPr>
          <w:b/>
          <w:color w:val="auto"/>
        </w:rPr>
        <w:t xml:space="preserve"> (MŚP)</w:t>
      </w:r>
      <w:r w:rsidR="00B47007" w:rsidRPr="00CC7265">
        <w:rPr>
          <w:color w:val="auto"/>
        </w:rPr>
        <w:t xml:space="preserve"> – należy przez to rozumieć mikroprzedsiębi</w:t>
      </w:r>
      <w:r w:rsidR="00D159F8">
        <w:rPr>
          <w:color w:val="auto"/>
        </w:rPr>
        <w:t>or</w:t>
      </w:r>
      <w:r w:rsidR="00B47007" w:rsidRPr="00CC7265">
        <w:rPr>
          <w:color w:val="auto"/>
        </w:rPr>
        <w:t>cę</w:t>
      </w:r>
      <w:r w:rsidRPr="00CC7265">
        <w:rPr>
          <w:color w:val="auto"/>
        </w:rPr>
        <w:t>,</w:t>
      </w:r>
      <w:r w:rsidR="00B47007" w:rsidRPr="00CC7265">
        <w:rPr>
          <w:color w:val="auto"/>
        </w:rPr>
        <w:t xml:space="preserve"> małego </w:t>
      </w:r>
      <w:r w:rsidRPr="00CC7265">
        <w:rPr>
          <w:color w:val="auto"/>
        </w:rPr>
        <w:t xml:space="preserve">lub średniego </w:t>
      </w:r>
      <w:r w:rsidR="00B47007" w:rsidRPr="00CC7265">
        <w:rPr>
          <w:color w:val="auto"/>
        </w:rPr>
        <w:t xml:space="preserve">przedsiębiorcę spełniającego warunki określone w załączniku I do rozporządzenia </w:t>
      </w:r>
      <w:r w:rsidR="004120B8">
        <w:rPr>
          <w:color w:val="auto"/>
        </w:rPr>
        <w:t>KE</w:t>
      </w:r>
      <w:r w:rsidR="004120B8" w:rsidRPr="00CC7265">
        <w:rPr>
          <w:color w:val="auto"/>
        </w:rPr>
        <w:t xml:space="preserve"> </w:t>
      </w:r>
      <w:r w:rsidR="00B47007" w:rsidRPr="00CC7265">
        <w:rPr>
          <w:color w:val="auto"/>
        </w:rPr>
        <w:t xml:space="preserve">nr 651/2014; </w:t>
      </w:r>
    </w:p>
    <w:p w14:paraId="4EFF6E21" w14:textId="1A2D249F" w:rsidR="00C768D7" w:rsidRPr="001A3023" w:rsidRDefault="00C768D7" w:rsidP="00223CAE">
      <w:pPr>
        <w:pStyle w:val="Default"/>
        <w:numPr>
          <w:ilvl w:val="0"/>
          <w:numId w:val="3"/>
        </w:numPr>
        <w:spacing w:before="120" w:after="120" w:line="271" w:lineRule="auto"/>
        <w:ind w:left="567" w:hanging="501"/>
        <w:jc w:val="both"/>
        <w:rPr>
          <w:bCs/>
        </w:rPr>
      </w:pPr>
      <w:r w:rsidRPr="002B25C3">
        <w:rPr>
          <w:b/>
          <w:bCs/>
          <w:color w:val="auto"/>
        </w:rPr>
        <w:t>pilotaż</w:t>
      </w:r>
      <w:r w:rsidR="00DC092A">
        <w:rPr>
          <w:b/>
          <w:bCs/>
          <w:color w:val="auto"/>
        </w:rPr>
        <w:t>u</w:t>
      </w:r>
      <w:r w:rsidRPr="002B25C3">
        <w:rPr>
          <w:bCs/>
          <w:color w:val="auto"/>
        </w:rPr>
        <w:t xml:space="preserve"> – należy przez to rozumieć realizację </w:t>
      </w:r>
      <w:r w:rsidR="00DD70F7">
        <w:rPr>
          <w:bCs/>
          <w:color w:val="auto"/>
        </w:rPr>
        <w:t xml:space="preserve">programu </w:t>
      </w:r>
      <w:r w:rsidR="008138D1">
        <w:rPr>
          <w:bCs/>
          <w:color w:val="auto"/>
        </w:rPr>
        <w:t>G</w:t>
      </w:r>
      <w:r w:rsidRPr="002B25C3">
        <w:rPr>
          <w:bCs/>
          <w:color w:val="auto"/>
        </w:rPr>
        <w:t>rant</w:t>
      </w:r>
      <w:r w:rsidR="00DD70F7">
        <w:rPr>
          <w:bCs/>
          <w:color w:val="auto"/>
        </w:rPr>
        <w:t>y</w:t>
      </w:r>
      <w:r w:rsidRPr="002B25C3">
        <w:rPr>
          <w:bCs/>
          <w:color w:val="auto"/>
        </w:rPr>
        <w:t xml:space="preserve"> dla Seal of Excellence;</w:t>
      </w:r>
    </w:p>
    <w:p w14:paraId="103A4091" w14:textId="0D40041A" w:rsidR="00B47007" w:rsidRDefault="00B47007" w:rsidP="00223CAE">
      <w:pPr>
        <w:pStyle w:val="Default"/>
        <w:numPr>
          <w:ilvl w:val="0"/>
          <w:numId w:val="3"/>
        </w:numPr>
        <w:spacing w:before="120" w:after="120" w:line="271" w:lineRule="auto"/>
        <w:ind w:left="567" w:hanging="501"/>
        <w:jc w:val="both"/>
        <w:rPr>
          <w:color w:val="auto"/>
        </w:rPr>
      </w:pPr>
      <w:r w:rsidRPr="00147333">
        <w:rPr>
          <w:b/>
          <w:bCs/>
          <w:color w:val="auto"/>
        </w:rPr>
        <w:t xml:space="preserve">pomocy </w:t>
      </w:r>
      <w:r w:rsidRPr="00147333">
        <w:rPr>
          <w:color w:val="auto"/>
        </w:rPr>
        <w:t xml:space="preserve">– </w:t>
      </w:r>
      <w:r w:rsidR="00E719E8" w:rsidRPr="00F13337">
        <w:t xml:space="preserve">należy przez to rozumieć pomoc w rozumieniu rozdziału 6 rozporządzenia przyznawaną </w:t>
      </w:r>
      <w:r w:rsidR="00320546">
        <w:t>g</w:t>
      </w:r>
      <w:r w:rsidR="00E719E8">
        <w:t>rantobiorcom</w:t>
      </w:r>
      <w:r w:rsidR="00E719E8" w:rsidRPr="00F13337">
        <w:t xml:space="preserve"> przez </w:t>
      </w:r>
      <w:r w:rsidR="00B374DE">
        <w:t>PARP</w:t>
      </w:r>
      <w:r w:rsidR="00B374DE" w:rsidRPr="00F13337">
        <w:t xml:space="preserve"> </w:t>
      </w:r>
      <w:r w:rsidR="00E719E8" w:rsidRPr="00F13337">
        <w:t xml:space="preserve">w formie </w:t>
      </w:r>
      <w:r w:rsidR="00E719E8">
        <w:t>bezzwrotnego wsparcia finansowego</w:t>
      </w:r>
      <w:r w:rsidRPr="00147333">
        <w:rPr>
          <w:color w:val="auto"/>
        </w:rPr>
        <w:t xml:space="preserve">; </w:t>
      </w:r>
    </w:p>
    <w:p w14:paraId="0B3D0F7F" w14:textId="0D54C788" w:rsidR="00C768D7" w:rsidRDefault="00C768D7" w:rsidP="00223CAE">
      <w:pPr>
        <w:pStyle w:val="Default"/>
        <w:numPr>
          <w:ilvl w:val="0"/>
          <w:numId w:val="3"/>
        </w:numPr>
        <w:spacing w:before="120" w:after="120" w:line="271" w:lineRule="auto"/>
        <w:ind w:left="567" w:hanging="501"/>
        <w:jc w:val="both"/>
        <w:rPr>
          <w:color w:val="auto"/>
        </w:rPr>
      </w:pPr>
      <w:r>
        <w:rPr>
          <w:b/>
          <w:bCs/>
          <w:color w:val="auto"/>
        </w:rPr>
        <w:t>projek</w:t>
      </w:r>
      <w:r w:rsidR="00DC092A">
        <w:rPr>
          <w:b/>
          <w:bCs/>
          <w:color w:val="auto"/>
        </w:rPr>
        <w:t>cie</w:t>
      </w:r>
      <w:r>
        <w:rPr>
          <w:b/>
          <w:bCs/>
          <w:color w:val="auto"/>
        </w:rPr>
        <w:t xml:space="preserve"> </w:t>
      </w:r>
      <w:r w:rsidRPr="001A3023">
        <w:rPr>
          <w:color w:val="auto"/>
        </w:rPr>
        <w:t>-</w:t>
      </w:r>
      <w:r>
        <w:rPr>
          <w:color w:val="auto"/>
        </w:rPr>
        <w:t xml:space="preserve"> </w:t>
      </w:r>
      <w:r w:rsidRPr="001A3023">
        <w:rPr>
          <w:color w:val="auto"/>
        </w:rPr>
        <w:t xml:space="preserve">należy przez to rozumieć zadanie realizowane na podstawie umowy </w:t>
      </w:r>
      <w:r>
        <w:rPr>
          <w:color w:val="auto"/>
        </w:rPr>
        <w:br/>
      </w:r>
      <w:r w:rsidRPr="001A3023">
        <w:rPr>
          <w:color w:val="auto"/>
        </w:rPr>
        <w:t>o powierzenie grantu</w:t>
      </w:r>
      <w:r w:rsidR="0094291D">
        <w:rPr>
          <w:color w:val="auto"/>
        </w:rPr>
        <w:t>,;</w:t>
      </w:r>
    </w:p>
    <w:p w14:paraId="26E3ACC0" w14:textId="55F8BA3F" w:rsidR="009D6540" w:rsidRPr="00666DE0" w:rsidRDefault="009D6540" w:rsidP="00223CAE">
      <w:pPr>
        <w:pStyle w:val="Default"/>
        <w:numPr>
          <w:ilvl w:val="0"/>
          <w:numId w:val="3"/>
        </w:numPr>
        <w:spacing w:before="120" w:after="120" w:line="271" w:lineRule="auto"/>
        <w:ind w:left="567" w:hanging="501"/>
        <w:jc w:val="both"/>
        <w:rPr>
          <w:b/>
          <w:color w:val="auto"/>
        </w:rPr>
      </w:pPr>
      <w:r>
        <w:rPr>
          <w:b/>
          <w:bCs/>
          <w:color w:val="auto"/>
        </w:rPr>
        <w:t>ryczał</w:t>
      </w:r>
      <w:r w:rsidR="00895BC9">
        <w:rPr>
          <w:b/>
          <w:bCs/>
          <w:color w:val="auto"/>
        </w:rPr>
        <w:t>t</w:t>
      </w:r>
      <w:r>
        <w:rPr>
          <w:b/>
          <w:bCs/>
          <w:color w:val="auto"/>
        </w:rPr>
        <w:t xml:space="preserve"> </w:t>
      </w:r>
      <w:r w:rsidR="001E3B63">
        <w:rPr>
          <w:color w:val="auto"/>
        </w:rPr>
        <w:t>–</w:t>
      </w:r>
      <w:r>
        <w:rPr>
          <w:color w:val="auto"/>
        </w:rPr>
        <w:t xml:space="preserve"> </w:t>
      </w:r>
      <w:r w:rsidR="002A19D4" w:rsidRPr="001A3023">
        <w:rPr>
          <w:color w:val="auto"/>
        </w:rPr>
        <w:t xml:space="preserve">należy przez to rozumieć </w:t>
      </w:r>
      <w:r w:rsidR="00606BB4">
        <w:rPr>
          <w:color w:val="auto"/>
        </w:rPr>
        <w:t>kwotę ryczałtową stanowiącą</w:t>
      </w:r>
      <w:r w:rsidR="00465E87">
        <w:rPr>
          <w:color w:val="auto"/>
        </w:rPr>
        <w:t xml:space="preserve"> </w:t>
      </w:r>
      <w:r w:rsidR="001E3B63">
        <w:rPr>
          <w:color w:val="auto"/>
        </w:rPr>
        <w:t>uproszczon</w:t>
      </w:r>
      <w:r w:rsidR="002A19D4">
        <w:rPr>
          <w:color w:val="auto"/>
        </w:rPr>
        <w:t>ą</w:t>
      </w:r>
      <w:r w:rsidR="001E3B63">
        <w:rPr>
          <w:color w:val="auto"/>
        </w:rPr>
        <w:t xml:space="preserve"> metod</w:t>
      </w:r>
      <w:r w:rsidR="002A19D4">
        <w:rPr>
          <w:color w:val="auto"/>
        </w:rPr>
        <w:t>ę</w:t>
      </w:r>
      <w:r w:rsidR="001E3B63">
        <w:rPr>
          <w:color w:val="auto"/>
        </w:rPr>
        <w:t xml:space="preserve"> rozliczania kosztów w ramach powierzonego grantu</w:t>
      </w:r>
      <w:r w:rsidR="00666DE0">
        <w:rPr>
          <w:color w:val="auto"/>
        </w:rPr>
        <w:t> stosowan</w:t>
      </w:r>
      <w:r w:rsidR="00606BB4">
        <w:rPr>
          <w:color w:val="auto"/>
        </w:rPr>
        <w:t>ą</w:t>
      </w:r>
      <w:r w:rsidR="00666DE0">
        <w:rPr>
          <w:color w:val="auto"/>
        </w:rPr>
        <w:t xml:space="preserve"> w pilotażu </w:t>
      </w:r>
      <w:r w:rsidR="002A19D4">
        <w:rPr>
          <w:color w:val="auto"/>
        </w:rPr>
        <w:t xml:space="preserve">w </w:t>
      </w:r>
      <w:r w:rsidR="001E3B63" w:rsidRPr="00666DE0">
        <w:rPr>
          <w:color w:val="auto"/>
        </w:rPr>
        <w:t xml:space="preserve">oparciu o </w:t>
      </w:r>
      <w:r w:rsidR="00666DE0">
        <w:rPr>
          <w:color w:val="auto"/>
        </w:rPr>
        <w:t xml:space="preserve">zasady określone w </w:t>
      </w:r>
      <w:r w:rsidR="00666DE0">
        <w:rPr>
          <w:rFonts w:eastAsia="Calibri"/>
        </w:rPr>
        <w:t>wytycznych</w:t>
      </w:r>
      <w:r w:rsidR="00666DE0" w:rsidRPr="00666DE0">
        <w:rPr>
          <w:rFonts w:eastAsia="Calibri"/>
        </w:rPr>
        <w:t xml:space="preserve"> w zakresie kwalifikowalności</w:t>
      </w:r>
      <w:r w:rsidR="006B442F">
        <w:rPr>
          <w:rFonts w:eastAsia="Calibri"/>
        </w:rPr>
        <w:t xml:space="preserve"> oraz w pilotażu</w:t>
      </w:r>
      <w:r w:rsidR="00666DE0" w:rsidRPr="00666DE0">
        <w:rPr>
          <w:rFonts w:eastAsia="Calibri"/>
        </w:rPr>
        <w:t>;</w:t>
      </w:r>
      <w:r w:rsidR="001E3B63" w:rsidRPr="00666DE0">
        <w:rPr>
          <w:b/>
          <w:color w:val="auto"/>
        </w:rPr>
        <w:t xml:space="preserve"> </w:t>
      </w:r>
    </w:p>
    <w:p w14:paraId="25CBA7C9" w14:textId="420DE9B0" w:rsidR="00A1593B" w:rsidRPr="00CC7265" w:rsidRDefault="004204E9" w:rsidP="00223CAE">
      <w:pPr>
        <w:pStyle w:val="Default"/>
        <w:numPr>
          <w:ilvl w:val="0"/>
          <w:numId w:val="3"/>
        </w:numPr>
        <w:spacing w:before="120" w:after="120" w:line="271" w:lineRule="auto"/>
        <w:ind w:left="567" w:hanging="501"/>
        <w:jc w:val="both"/>
        <w:rPr>
          <w:color w:val="auto"/>
        </w:rPr>
      </w:pPr>
      <w:r>
        <w:rPr>
          <w:b/>
          <w:bCs/>
          <w:color w:val="auto"/>
        </w:rPr>
        <w:t>Seal</w:t>
      </w:r>
      <w:r w:rsidRPr="00CC7265">
        <w:rPr>
          <w:b/>
          <w:bCs/>
          <w:color w:val="auto"/>
        </w:rPr>
        <w:t xml:space="preserve"> </w:t>
      </w:r>
      <w:r w:rsidR="00A1593B" w:rsidRPr="00CC7265">
        <w:rPr>
          <w:b/>
          <w:bCs/>
          <w:color w:val="auto"/>
        </w:rPr>
        <w:t>of excellence</w:t>
      </w:r>
      <w:r w:rsidR="004120B8">
        <w:rPr>
          <w:b/>
          <w:bCs/>
          <w:color w:val="auto"/>
        </w:rPr>
        <w:t xml:space="preserve"> (tzw. pieczęć doskonałości)</w:t>
      </w:r>
      <w:r w:rsidR="00A1593B" w:rsidRPr="00CC7265">
        <w:rPr>
          <w:b/>
          <w:bCs/>
          <w:color w:val="auto"/>
        </w:rPr>
        <w:t xml:space="preserve"> </w:t>
      </w:r>
      <w:r w:rsidR="00A1593B" w:rsidRPr="00CC7265">
        <w:rPr>
          <w:color w:val="auto"/>
        </w:rPr>
        <w:t xml:space="preserve">– należy </w:t>
      </w:r>
      <w:r w:rsidR="00B031A5" w:rsidRPr="00CC7265">
        <w:rPr>
          <w:color w:val="auto"/>
        </w:rPr>
        <w:t xml:space="preserve">przez to </w:t>
      </w:r>
      <w:r w:rsidR="00A1593B" w:rsidRPr="00CC7265">
        <w:rPr>
          <w:color w:val="auto"/>
        </w:rPr>
        <w:t xml:space="preserve">rozumieć znak jakości przyznawany przez Komisję Europejską dla projektów badawczo-rozwojowych, które zostały pozytywnie ocenione w ramach programu Horyzont 2020 lecz ze względu na niewystarczającą wysokość budżetu programu, ich sfinansowanie okazało się niemożliwe. Mają one jednak duży potencjał, który może znacząco przyczynić się do rozwoju gospodarczego dzięki swej innowacyjności, także przełomowej (tzw. </w:t>
      </w:r>
      <w:r w:rsidR="00A1593B" w:rsidRPr="00CC7265">
        <w:rPr>
          <w:i/>
          <w:color w:val="auto"/>
        </w:rPr>
        <w:t>disruptive innovations</w:t>
      </w:r>
      <w:r w:rsidR="00E719E8">
        <w:rPr>
          <w:color w:val="auto"/>
        </w:rPr>
        <w:t>);</w:t>
      </w:r>
    </w:p>
    <w:p w14:paraId="10F08AD6" w14:textId="77777777" w:rsidR="00E719E8" w:rsidRDefault="00000BE0" w:rsidP="00223CAE">
      <w:pPr>
        <w:pStyle w:val="Default"/>
        <w:numPr>
          <w:ilvl w:val="0"/>
          <w:numId w:val="3"/>
        </w:numPr>
        <w:spacing w:before="120" w:after="120" w:line="271" w:lineRule="auto"/>
        <w:ind w:left="567" w:hanging="501"/>
        <w:jc w:val="both"/>
        <w:rPr>
          <w:color w:val="auto"/>
        </w:rPr>
      </w:pPr>
      <w:r w:rsidRPr="00CC7265">
        <w:rPr>
          <w:b/>
        </w:rPr>
        <w:t>SMEI F1 H2020</w:t>
      </w:r>
      <w:r w:rsidRPr="00CC7265">
        <w:t xml:space="preserve"> – należy przez to rozumieć 1 Fazę Instrumentu MSP (SME Instrument) w ramach programu Horyzont 2020</w:t>
      </w:r>
      <w:r w:rsidR="002B1FBD" w:rsidRPr="00CC7265">
        <w:t>;</w:t>
      </w:r>
    </w:p>
    <w:p w14:paraId="770AEBC9" w14:textId="2F7EEB0E" w:rsidR="00E719E8" w:rsidRDefault="000F03B8" w:rsidP="00223CAE">
      <w:pPr>
        <w:pStyle w:val="Default"/>
        <w:numPr>
          <w:ilvl w:val="0"/>
          <w:numId w:val="3"/>
        </w:numPr>
        <w:spacing w:before="120" w:after="120" w:line="271" w:lineRule="auto"/>
        <w:ind w:left="567" w:hanging="501"/>
        <w:jc w:val="both"/>
        <w:rPr>
          <w:color w:val="auto"/>
        </w:rPr>
      </w:pPr>
      <w:r w:rsidRPr="00E719E8">
        <w:rPr>
          <w:b/>
        </w:rPr>
        <w:t xml:space="preserve">studium wykonalności </w:t>
      </w:r>
      <w:r w:rsidRPr="00E719E8">
        <w:t xml:space="preserve">– </w:t>
      </w:r>
      <w:r w:rsidRPr="00E719E8">
        <w:rPr>
          <w:color w:val="auto"/>
        </w:rPr>
        <w:t>należy przez to rozumieć studium wykonalności zgodnie z art. 2</w:t>
      </w:r>
      <w:r w:rsidR="00F2698A">
        <w:rPr>
          <w:color w:val="auto"/>
        </w:rPr>
        <w:t xml:space="preserve"> pkt </w:t>
      </w:r>
      <w:r w:rsidRPr="00E719E8">
        <w:rPr>
          <w:color w:val="auto"/>
        </w:rPr>
        <w:t xml:space="preserve">87 </w:t>
      </w:r>
      <w:r w:rsidR="001C2F56" w:rsidRPr="00E719E8">
        <w:rPr>
          <w:color w:val="auto"/>
        </w:rPr>
        <w:t>rozporządzenia KE nr 651/2014</w:t>
      </w:r>
      <w:r w:rsidR="00E719E8" w:rsidRPr="00E719E8">
        <w:rPr>
          <w:color w:val="auto"/>
        </w:rPr>
        <w:t>, tj. ocenę i analizę potencjału projektu, któr</w:t>
      </w:r>
      <w:r w:rsidR="0091396A">
        <w:rPr>
          <w:color w:val="auto"/>
        </w:rPr>
        <w:t xml:space="preserve">e </w:t>
      </w:r>
      <w:r w:rsidR="00E719E8" w:rsidRPr="00E719E8">
        <w:rPr>
          <w:color w:val="auto"/>
        </w:rPr>
        <w:t xml:space="preserve"> ma</w:t>
      </w:r>
      <w:r w:rsidR="0091396A">
        <w:rPr>
          <w:color w:val="auto"/>
        </w:rPr>
        <w:t>ją</w:t>
      </w:r>
      <w:r w:rsidR="00E719E8" w:rsidRPr="00E719E8">
        <w:rPr>
          <w:color w:val="auto"/>
        </w:rPr>
        <w:t xml:space="preserve"> wesprzeć proces decyzyjny poprzez obiektywne i racjonalne określenie jego mocnych i słabych stron oraz możliwości i zagrożeń z nim związanych, zasobów, jakie będą niezbędne do realizacji projektu, oraz ocenę szans jego powodzenia;</w:t>
      </w:r>
    </w:p>
    <w:p w14:paraId="79047920" w14:textId="2ACAE6DF" w:rsidR="00E719E8" w:rsidRPr="00E719E8" w:rsidRDefault="0065130F" w:rsidP="00223CAE">
      <w:pPr>
        <w:pStyle w:val="Default"/>
        <w:numPr>
          <w:ilvl w:val="0"/>
          <w:numId w:val="3"/>
        </w:numPr>
        <w:spacing w:before="120" w:after="120" w:line="271" w:lineRule="auto"/>
        <w:ind w:left="567" w:hanging="501"/>
        <w:jc w:val="both"/>
        <w:rPr>
          <w:color w:val="auto"/>
        </w:rPr>
      </w:pPr>
      <w:r w:rsidRPr="00E719E8">
        <w:rPr>
          <w:b/>
        </w:rPr>
        <w:t>stron</w:t>
      </w:r>
      <w:r w:rsidR="00F2698A">
        <w:rPr>
          <w:b/>
        </w:rPr>
        <w:t>ie</w:t>
      </w:r>
      <w:r w:rsidRPr="00E719E8">
        <w:rPr>
          <w:b/>
        </w:rPr>
        <w:t xml:space="preserve"> internetow</w:t>
      </w:r>
      <w:r w:rsidR="00F2698A">
        <w:rPr>
          <w:b/>
        </w:rPr>
        <w:t>ej</w:t>
      </w:r>
      <w:r w:rsidRPr="00E719E8">
        <w:rPr>
          <w:b/>
        </w:rPr>
        <w:t xml:space="preserve"> </w:t>
      </w:r>
      <w:r w:rsidR="00B374DE">
        <w:rPr>
          <w:b/>
        </w:rPr>
        <w:t>PARP</w:t>
      </w:r>
      <w:r w:rsidR="00B374DE" w:rsidRPr="00E719E8">
        <w:rPr>
          <w:b/>
        </w:rPr>
        <w:t xml:space="preserve"> </w:t>
      </w:r>
      <w:r w:rsidRPr="00E719E8">
        <w:rPr>
          <w:color w:val="auto"/>
        </w:rPr>
        <w:t xml:space="preserve">– </w:t>
      </w:r>
      <w:r w:rsidR="00A34B35" w:rsidRPr="00E719E8">
        <w:rPr>
          <w:color w:val="auto"/>
        </w:rPr>
        <w:t xml:space="preserve">należy przez to rozumieć </w:t>
      </w:r>
      <w:r w:rsidRPr="00E719E8">
        <w:rPr>
          <w:color w:val="auto"/>
        </w:rPr>
        <w:t xml:space="preserve">stronę </w:t>
      </w:r>
      <w:r w:rsidR="004204E9" w:rsidRPr="00E719E8">
        <w:rPr>
          <w:color w:val="auto"/>
        </w:rPr>
        <w:t>internetow</w:t>
      </w:r>
      <w:r w:rsidR="00F2698A">
        <w:rPr>
          <w:color w:val="auto"/>
        </w:rPr>
        <w:t>ą</w:t>
      </w:r>
      <w:r w:rsidR="004204E9" w:rsidRPr="00E719E8">
        <w:rPr>
          <w:color w:val="auto"/>
        </w:rPr>
        <w:t>:</w:t>
      </w:r>
      <w:r w:rsidRPr="00E719E8">
        <w:rPr>
          <w:color w:val="auto"/>
        </w:rPr>
        <w:t xml:space="preserve"> </w:t>
      </w:r>
      <w:hyperlink r:id="rId10" w:history="1">
        <w:r w:rsidR="00E719E8" w:rsidRPr="00C9048C">
          <w:rPr>
            <w:rStyle w:val="Hipercze"/>
          </w:rPr>
          <w:t>www.parp.gov.pl</w:t>
        </w:r>
      </w:hyperlink>
      <w:r w:rsidR="00E719E8">
        <w:rPr>
          <w:color w:val="auto"/>
        </w:rPr>
        <w:t xml:space="preserve"> ;</w:t>
      </w:r>
    </w:p>
    <w:p w14:paraId="3BA7AB40" w14:textId="0992A856" w:rsidR="00E719E8" w:rsidRDefault="00D8363A" w:rsidP="00223CAE">
      <w:pPr>
        <w:pStyle w:val="Default"/>
        <w:numPr>
          <w:ilvl w:val="0"/>
          <w:numId w:val="3"/>
        </w:numPr>
        <w:spacing w:before="120" w:after="120" w:line="271" w:lineRule="auto"/>
        <w:ind w:left="567" w:hanging="501"/>
        <w:jc w:val="both"/>
        <w:rPr>
          <w:color w:val="auto"/>
        </w:rPr>
      </w:pPr>
      <w:r w:rsidRPr="00E719E8">
        <w:rPr>
          <w:b/>
        </w:rPr>
        <w:t>wniosk</w:t>
      </w:r>
      <w:r w:rsidR="00F2698A">
        <w:rPr>
          <w:b/>
        </w:rPr>
        <w:t>u</w:t>
      </w:r>
      <w:r w:rsidRPr="00E719E8">
        <w:rPr>
          <w:b/>
        </w:rPr>
        <w:t xml:space="preserve"> </w:t>
      </w:r>
      <w:r w:rsidR="008B6BD0" w:rsidRPr="00E719E8">
        <w:rPr>
          <w:b/>
        </w:rPr>
        <w:t>o powierzenie grantu</w:t>
      </w:r>
      <w:r w:rsidRPr="00E719E8">
        <w:rPr>
          <w:color w:val="auto"/>
        </w:rPr>
        <w:t xml:space="preserve"> </w:t>
      </w:r>
      <w:r w:rsidR="008B6BD0" w:rsidRPr="00E719E8">
        <w:rPr>
          <w:color w:val="auto"/>
        </w:rPr>
        <w:t>–</w:t>
      </w:r>
      <w:r w:rsidRPr="00E719E8">
        <w:rPr>
          <w:color w:val="auto"/>
        </w:rPr>
        <w:t xml:space="preserve"> </w:t>
      </w:r>
      <w:r w:rsidR="00A34B35" w:rsidRPr="00E719E8">
        <w:rPr>
          <w:color w:val="auto"/>
        </w:rPr>
        <w:t xml:space="preserve">należy przez to rozumieć </w:t>
      </w:r>
      <w:r w:rsidR="008B6BD0" w:rsidRPr="00E719E8">
        <w:rPr>
          <w:color w:val="auto"/>
        </w:rPr>
        <w:t xml:space="preserve">wniosek składany przez </w:t>
      </w:r>
      <w:r w:rsidR="0047503E" w:rsidRPr="00E719E8">
        <w:rPr>
          <w:color w:val="auto"/>
        </w:rPr>
        <w:t>wnioskodawcę</w:t>
      </w:r>
      <w:r w:rsidR="008138D1">
        <w:rPr>
          <w:color w:val="auto"/>
        </w:rPr>
        <w:t xml:space="preserve"> wraz z wymaganymi załącznikami</w:t>
      </w:r>
      <w:r w:rsidR="0047503E" w:rsidRPr="00E719E8">
        <w:rPr>
          <w:color w:val="auto"/>
        </w:rPr>
        <w:t xml:space="preserve"> </w:t>
      </w:r>
      <w:r w:rsidR="008B6BD0" w:rsidRPr="00E719E8">
        <w:rPr>
          <w:color w:val="auto"/>
        </w:rPr>
        <w:t>za pośrednictwem</w:t>
      </w:r>
      <w:r w:rsidR="00666DE0">
        <w:rPr>
          <w:color w:val="auto"/>
        </w:rPr>
        <w:t xml:space="preserve"> </w:t>
      </w:r>
      <w:r w:rsidR="004145CB" w:rsidRPr="00666DE0">
        <w:rPr>
          <w:b/>
          <w:color w:val="auto"/>
        </w:rPr>
        <w:t>GW</w:t>
      </w:r>
      <w:r w:rsidR="00983BED">
        <w:rPr>
          <w:color w:val="auto"/>
        </w:rPr>
        <w:t>, którego wzór stanowi załącznik nr 2 do niniejszego Regulaminu</w:t>
      </w:r>
      <w:r w:rsidR="00C26922">
        <w:rPr>
          <w:color w:val="auto"/>
        </w:rPr>
        <w:t xml:space="preserve"> naboru</w:t>
      </w:r>
      <w:r w:rsidR="00C66225">
        <w:rPr>
          <w:color w:val="auto"/>
        </w:rPr>
        <w:t>;</w:t>
      </w:r>
    </w:p>
    <w:p w14:paraId="2A617C03" w14:textId="6698B7AB" w:rsidR="00D8363A" w:rsidRPr="00E719E8" w:rsidRDefault="008B6BD0" w:rsidP="00223CAE">
      <w:pPr>
        <w:pStyle w:val="Default"/>
        <w:numPr>
          <w:ilvl w:val="0"/>
          <w:numId w:val="3"/>
        </w:numPr>
        <w:spacing w:before="120" w:after="120" w:line="271" w:lineRule="auto"/>
        <w:ind w:left="567" w:hanging="501"/>
        <w:jc w:val="both"/>
        <w:rPr>
          <w:color w:val="auto"/>
        </w:rPr>
      </w:pPr>
      <w:r w:rsidRPr="00E719E8">
        <w:rPr>
          <w:b/>
        </w:rPr>
        <w:t>wnioskodawc</w:t>
      </w:r>
      <w:r w:rsidR="005F3811">
        <w:rPr>
          <w:b/>
        </w:rPr>
        <w:t>y</w:t>
      </w:r>
      <w:r w:rsidRPr="00E719E8">
        <w:rPr>
          <w:b/>
        </w:rPr>
        <w:t xml:space="preserve"> </w:t>
      </w:r>
      <w:r w:rsidR="004204E9">
        <w:t>–</w:t>
      </w:r>
      <w:r>
        <w:t xml:space="preserve"> </w:t>
      </w:r>
      <w:r w:rsidR="00A34B35" w:rsidRPr="00E719E8">
        <w:rPr>
          <w:color w:val="auto"/>
        </w:rPr>
        <w:t xml:space="preserve">należy przez to rozumieć </w:t>
      </w:r>
      <w:r w:rsidR="004204E9" w:rsidRPr="00466AA3">
        <w:rPr>
          <w:color w:val="auto"/>
        </w:rPr>
        <w:t>mikro, mał</w:t>
      </w:r>
      <w:r w:rsidR="00A34B35" w:rsidRPr="00466AA3">
        <w:rPr>
          <w:color w:val="auto"/>
        </w:rPr>
        <w:t>ego</w:t>
      </w:r>
      <w:r w:rsidR="004204E9" w:rsidRPr="00466AA3">
        <w:rPr>
          <w:color w:val="auto"/>
        </w:rPr>
        <w:t xml:space="preserve"> lub średni</w:t>
      </w:r>
      <w:r w:rsidR="00A34B35" w:rsidRPr="00466AA3">
        <w:rPr>
          <w:color w:val="auto"/>
        </w:rPr>
        <w:t>ego</w:t>
      </w:r>
      <w:r w:rsidR="004204E9" w:rsidRPr="00466AA3">
        <w:rPr>
          <w:color w:val="auto"/>
        </w:rPr>
        <w:t xml:space="preserve"> przedsiębiorc</w:t>
      </w:r>
      <w:r w:rsidR="00A34B35" w:rsidRPr="00466AA3">
        <w:rPr>
          <w:color w:val="auto"/>
        </w:rPr>
        <w:t>ę</w:t>
      </w:r>
      <w:r w:rsidR="004204E9" w:rsidRPr="00466AA3">
        <w:rPr>
          <w:color w:val="auto"/>
        </w:rPr>
        <w:t>, który złożył wniosek o powierzenie grantu</w:t>
      </w:r>
      <w:r w:rsidR="00940EA5" w:rsidRPr="00466AA3">
        <w:rPr>
          <w:color w:val="auto"/>
        </w:rPr>
        <w:t xml:space="preserve"> w ramach pilotażu i który </w:t>
      </w:r>
      <w:r w:rsidR="00071D9A" w:rsidRPr="00466AA3">
        <w:rPr>
          <w:color w:val="auto"/>
        </w:rPr>
        <w:t xml:space="preserve">uzyskał Seal of Excellence w ramach 1 Fazy Instrumentu MŚP w programie Horyzont 2020 albo nabył </w:t>
      </w:r>
      <w:r w:rsidR="00071D9A" w:rsidRPr="00466AA3">
        <w:rPr>
          <w:color w:val="auto"/>
        </w:rPr>
        <w:lastRenderedPageBreak/>
        <w:t>autorskie prawa majątkowe oraz prawo zezwalania na wykonywanie zależnych praw autorskich do projektu, który uzyskał Seal of Excellence w ramach 1 Fazy Instrumentu MŚP w programie Horyzont 2020, a jego potencjał do realizacji projektu jest nie mniejszy niż podmiotu, który uzyskał Seal of Excellence w ramach 1 Fazy Instrumentu MŚP w programie Horyzont 2020</w:t>
      </w:r>
      <w:r w:rsidRPr="00E719E8">
        <w:rPr>
          <w:color w:val="auto"/>
        </w:rPr>
        <w:t xml:space="preserve">. </w:t>
      </w:r>
    </w:p>
    <w:p w14:paraId="02AC292A" w14:textId="77777777" w:rsidR="004871E7" w:rsidRPr="00CC7265" w:rsidRDefault="004871E7" w:rsidP="00FB05D7">
      <w:pPr>
        <w:pStyle w:val="Default"/>
        <w:spacing w:before="120" w:after="120" w:line="271" w:lineRule="auto"/>
        <w:rPr>
          <w:b/>
          <w:bCs/>
          <w:color w:val="auto"/>
        </w:rPr>
      </w:pPr>
    </w:p>
    <w:p w14:paraId="2641CF3D" w14:textId="77777777" w:rsidR="00B47007" w:rsidRPr="00CC7265" w:rsidRDefault="00B47007" w:rsidP="000E2991">
      <w:pPr>
        <w:pStyle w:val="Default"/>
        <w:spacing w:before="120" w:after="120" w:line="271" w:lineRule="auto"/>
        <w:jc w:val="center"/>
        <w:rPr>
          <w:color w:val="auto"/>
        </w:rPr>
      </w:pPr>
      <w:r w:rsidRPr="00CC7265">
        <w:rPr>
          <w:b/>
          <w:bCs/>
          <w:color w:val="auto"/>
        </w:rPr>
        <w:t xml:space="preserve">§ </w:t>
      </w:r>
      <w:r w:rsidR="001C2F56" w:rsidRPr="00CC7265">
        <w:rPr>
          <w:b/>
          <w:bCs/>
          <w:color w:val="auto"/>
        </w:rPr>
        <w:t>3</w:t>
      </w:r>
      <w:r w:rsidRPr="00CC7265">
        <w:rPr>
          <w:b/>
          <w:bCs/>
          <w:color w:val="auto"/>
        </w:rPr>
        <w:t>.</w:t>
      </w:r>
    </w:p>
    <w:p w14:paraId="45B80DC8" w14:textId="77777777" w:rsidR="00B47007" w:rsidRPr="00CC7265" w:rsidRDefault="00B47007" w:rsidP="000E2991">
      <w:pPr>
        <w:pStyle w:val="Default"/>
        <w:spacing w:before="120" w:after="120" w:line="271" w:lineRule="auto"/>
        <w:jc w:val="center"/>
        <w:rPr>
          <w:color w:val="auto"/>
        </w:rPr>
      </w:pPr>
      <w:r w:rsidRPr="00CC7265">
        <w:rPr>
          <w:b/>
          <w:bCs/>
          <w:color w:val="auto"/>
        </w:rPr>
        <w:t>Postanowienia ogólne</w:t>
      </w:r>
    </w:p>
    <w:p w14:paraId="40F59B75" w14:textId="330C40EB" w:rsidR="002861FC" w:rsidRPr="00CC7265" w:rsidRDefault="00B47007" w:rsidP="002861FC">
      <w:pPr>
        <w:pStyle w:val="Default"/>
        <w:numPr>
          <w:ilvl w:val="0"/>
          <w:numId w:val="1"/>
        </w:numPr>
        <w:spacing w:before="120" w:after="120" w:line="271" w:lineRule="auto"/>
        <w:ind w:left="426"/>
        <w:jc w:val="both"/>
        <w:rPr>
          <w:color w:val="auto"/>
        </w:rPr>
      </w:pPr>
      <w:r w:rsidRPr="00CC7265">
        <w:rPr>
          <w:color w:val="auto"/>
        </w:rPr>
        <w:t>Celem pilotażu</w:t>
      </w:r>
      <w:r w:rsidR="003D6563" w:rsidRPr="00CC7265">
        <w:rPr>
          <w:color w:val="auto"/>
        </w:rPr>
        <w:t xml:space="preserve"> </w:t>
      </w:r>
      <w:r w:rsidRPr="00CC7265">
        <w:rPr>
          <w:color w:val="auto"/>
        </w:rPr>
        <w:t xml:space="preserve">jest </w:t>
      </w:r>
      <w:r w:rsidR="008733AA" w:rsidRPr="00CC7265">
        <w:rPr>
          <w:color w:val="auto"/>
        </w:rPr>
        <w:t>powierzenie</w:t>
      </w:r>
      <w:r w:rsidR="006F2438" w:rsidRPr="00CC7265">
        <w:rPr>
          <w:color w:val="auto"/>
        </w:rPr>
        <w:t xml:space="preserve"> grantów na</w:t>
      </w:r>
      <w:r w:rsidR="002340B0">
        <w:rPr>
          <w:color w:val="auto"/>
        </w:rPr>
        <w:t xml:space="preserve"> przygotowanie</w:t>
      </w:r>
      <w:r w:rsidR="003E51A6" w:rsidRPr="00CC7265">
        <w:rPr>
          <w:color w:val="auto"/>
        </w:rPr>
        <w:t xml:space="preserve"> </w:t>
      </w:r>
      <w:r w:rsidR="0073137E" w:rsidRPr="00CC7265">
        <w:rPr>
          <w:color w:val="auto"/>
        </w:rPr>
        <w:t>studi</w:t>
      </w:r>
      <w:r w:rsidR="0073137E">
        <w:rPr>
          <w:color w:val="auto"/>
        </w:rPr>
        <w:t>ów</w:t>
      </w:r>
      <w:r w:rsidR="0073137E" w:rsidRPr="00CC7265">
        <w:rPr>
          <w:color w:val="auto"/>
        </w:rPr>
        <w:t xml:space="preserve"> </w:t>
      </w:r>
      <w:r w:rsidR="003E51A6" w:rsidRPr="00CC7265">
        <w:rPr>
          <w:color w:val="auto"/>
        </w:rPr>
        <w:t xml:space="preserve">wykonalności dla </w:t>
      </w:r>
      <w:r w:rsidRPr="00CC7265">
        <w:rPr>
          <w:color w:val="auto"/>
        </w:rPr>
        <w:t xml:space="preserve">projektów, które </w:t>
      </w:r>
      <w:r w:rsidR="003E51A6" w:rsidRPr="00CC7265">
        <w:rPr>
          <w:color w:val="auto"/>
        </w:rPr>
        <w:t xml:space="preserve">w programie Horyzont 2020, w ramach </w:t>
      </w:r>
      <w:r w:rsidR="008138D1">
        <w:rPr>
          <w:color w:val="auto"/>
        </w:rPr>
        <w:t>SMEI F1 H2020</w:t>
      </w:r>
      <w:r w:rsidR="003E51A6" w:rsidRPr="00CC7265">
        <w:rPr>
          <w:color w:val="auto"/>
        </w:rPr>
        <w:t xml:space="preserve"> uzyskały Seal of </w:t>
      </w:r>
      <w:r w:rsidR="003E7A50">
        <w:rPr>
          <w:color w:val="auto"/>
        </w:rPr>
        <w:t>e</w:t>
      </w:r>
      <w:r w:rsidR="003E51A6" w:rsidRPr="00CC7265">
        <w:rPr>
          <w:color w:val="auto"/>
        </w:rPr>
        <w:t xml:space="preserve">xcellence. </w:t>
      </w:r>
      <w:r w:rsidR="00D31C6B">
        <w:rPr>
          <w:color w:val="auto"/>
        </w:rPr>
        <w:t xml:space="preserve">Założenia do pilotażu zostały ujęte w Opisie założeń pilotażu, stanowiącym załącznik nr 1 do Regulaminu </w:t>
      </w:r>
      <w:r w:rsidR="00527255">
        <w:rPr>
          <w:color w:val="auto"/>
        </w:rPr>
        <w:t>naboru</w:t>
      </w:r>
      <w:r w:rsidR="00D31C6B">
        <w:rPr>
          <w:color w:val="auto"/>
        </w:rPr>
        <w:t>.</w:t>
      </w:r>
    </w:p>
    <w:p w14:paraId="29599D44" w14:textId="3DCD7C24" w:rsidR="001C2F56" w:rsidRPr="00CC7265" w:rsidRDefault="00B47007" w:rsidP="000E2991">
      <w:pPr>
        <w:pStyle w:val="Default"/>
        <w:numPr>
          <w:ilvl w:val="0"/>
          <w:numId w:val="1"/>
        </w:numPr>
        <w:spacing w:before="120" w:after="120" w:line="271" w:lineRule="auto"/>
        <w:ind w:left="426" w:hanging="426"/>
        <w:jc w:val="both"/>
        <w:rPr>
          <w:color w:val="auto"/>
        </w:rPr>
      </w:pPr>
      <w:r w:rsidRPr="00CC7265">
        <w:rPr>
          <w:color w:val="auto"/>
        </w:rPr>
        <w:t xml:space="preserve">Wybór </w:t>
      </w:r>
      <w:r w:rsidR="00761455" w:rsidRPr="00CC7265">
        <w:rPr>
          <w:color w:val="auto"/>
        </w:rPr>
        <w:t xml:space="preserve">wniosków </w:t>
      </w:r>
      <w:r w:rsidR="004120B8">
        <w:rPr>
          <w:color w:val="auto"/>
        </w:rPr>
        <w:t>o powierzenie grantu</w:t>
      </w:r>
      <w:r w:rsidR="00761455" w:rsidRPr="00CC7265">
        <w:rPr>
          <w:color w:val="auto"/>
        </w:rPr>
        <w:t xml:space="preserve"> </w:t>
      </w:r>
      <w:r w:rsidRPr="00CC7265">
        <w:rPr>
          <w:color w:val="auto"/>
        </w:rPr>
        <w:t xml:space="preserve">następuje w drodze otwartego naboru ogłoszonego przez </w:t>
      </w:r>
      <w:r w:rsidR="00666DE0">
        <w:rPr>
          <w:color w:val="auto"/>
        </w:rPr>
        <w:t>PARP</w:t>
      </w:r>
      <w:r w:rsidR="001C2F56" w:rsidRPr="00CC7265">
        <w:rPr>
          <w:color w:val="auto"/>
        </w:rPr>
        <w:t>, zgodnie z art. 35 ustawy wdrożeniowej</w:t>
      </w:r>
      <w:r w:rsidR="00D31C6B">
        <w:rPr>
          <w:color w:val="auto"/>
        </w:rPr>
        <w:t>.</w:t>
      </w:r>
    </w:p>
    <w:p w14:paraId="6DF2F14C" w14:textId="69A8F8BC" w:rsidR="001C2F56" w:rsidRPr="00AB6797" w:rsidRDefault="001C2F56" w:rsidP="000E2991">
      <w:pPr>
        <w:pStyle w:val="Default"/>
        <w:numPr>
          <w:ilvl w:val="0"/>
          <w:numId w:val="1"/>
        </w:numPr>
        <w:spacing w:before="120" w:after="120" w:line="271" w:lineRule="auto"/>
        <w:ind w:left="426" w:hanging="426"/>
        <w:jc w:val="both"/>
        <w:rPr>
          <w:color w:val="auto"/>
        </w:rPr>
      </w:pPr>
      <w:r w:rsidRPr="00AB6797">
        <w:rPr>
          <w:color w:val="auto"/>
        </w:rPr>
        <w:t xml:space="preserve">Wnioski </w:t>
      </w:r>
      <w:r w:rsidR="00D31C6B" w:rsidRPr="00AB6797">
        <w:rPr>
          <w:color w:val="auto"/>
        </w:rPr>
        <w:t>o powierzenie grantu</w:t>
      </w:r>
      <w:r w:rsidRPr="00AB6797">
        <w:rPr>
          <w:color w:val="auto"/>
        </w:rPr>
        <w:t xml:space="preserve"> mogą być składane w okresie </w:t>
      </w:r>
      <w:r w:rsidR="004120B8" w:rsidRPr="00AB6797">
        <w:rPr>
          <w:color w:val="auto"/>
        </w:rPr>
        <w:t xml:space="preserve">od dnia </w:t>
      </w:r>
      <w:r w:rsidR="00491DED" w:rsidRPr="00AB6797">
        <w:rPr>
          <w:color w:val="auto"/>
        </w:rPr>
        <w:t xml:space="preserve">8 maja </w:t>
      </w:r>
      <w:r w:rsidR="004120B8" w:rsidRPr="00AB6797">
        <w:rPr>
          <w:color w:val="auto"/>
        </w:rPr>
        <w:t xml:space="preserve">do dnia </w:t>
      </w:r>
      <w:r w:rsidR="00491DED" w:rsidRPr="00AB6797">
        <w:rPr>
          <w:color w:val="auto"/>
        </w:rPr>
        <w:t xml:space="preserve">5 czerwca </w:t>
      </w:r>
      <w:r w:rsidR="00FF3CDC" w:rsidRPr="00AB6797">
        <w:rPr>
          <w:color w:val="auto"/>
        </w:rPr>
        <w:t>201</w:t>
      </w:r>
      <w:r w:rsidR="006B1627" w:rsidRPr="00AB6797">
        <w:rPr>
          <w:color w:val="auto"/>
        </w:rPr>
        <w:t>8</w:t>
      </w:r>
      <w:r w:rsidR="004120B8" w:rsidRPr="00AB6797">
        <w:rPr>
          <w:color w:val="auto"/>
        </w:rPr>
        <w:t xml:space="preserve"> roku (w ostatnim dniu naboru do godz. 16:00:00). </w:t>
      </w:r>
    </w:p>
    <w:p w14:paraId="1C1FE846" w14:textId="77777777" w:rsidR="001C2F56" w:rsidRPr="00CC7265" w:rsidRDefault="001C2F56" w:rsidP="00C32E84">
      <w:pPr>
        <w:pStyle w:val="Default"/>
        <w:numPr>
          <w:ilvl w:val="0"/>
          <w:numId w:val="1"/>
        </w:numPr>
        <w:spacing w:before="120" w:after="120" w:line="271" w:lineRule="auto"/>
        <w:ind w:left="426" w:hanging="426"/>
        <w:jc w:val="both"/>
        <w:rPr>
          <w:color w:val="auto"/>
        </w:rPr>
      </w:pPr>
      <w:r w:rsidRPr="00CC7265">
        <w:rPr>
          <w:color w:val="auto"/>
        </w:rPr>
        <w:t xml:space="preserve">Wniosek </w:t>
      </w:r>
      <w:r w:rsidR="00D31C6B">
        <w:rPr>
          <w:color w:val="auto"/>
        </w:rPr>
        <w:t>o powierzenie grantu</w:t>
      </w:r>
      <w:r w:rsidRPr="00CC7265">
        <w:rPr>
          <w:color w:val="auto"/>
        </w:rPr>
        <w:t xml:space="preserve"> uznaje się za złożony, jeśli został złożony:</w:t>
      </w:r>
    </w:p>
    <w:p w14:paraId="0F1E7C0E" w14:textId="77777777" w:rsidR="001C2F56" w:rsidRPr="0065130F" w:rsidRDefault="001C2F56" w:rsidP="00223CAE">
      <w:pPr>
        <w:pStyle w:val="Akapitzlist"/>
        <w:numPr>
          <w:ilvl w:val="0"/>
          <w:numId w:val="13"/>
        </w:numPr>
        <w:tabs>
          <w:tab w:val="num" w:pos="1080"/>
        </w:tabs>
        <w:spacing w:after="120"/>
        <w:ind w:left="851" w:hanging="425"/>
        <w:contextualSpacing w:val="0"/>
        <w:jc w:val="both"/>
        <w:rPr>
          <w:rFonts w:ascii="Times New Roman" w:hAnsi="Times New Roman" w:cs="Times New Roman"/>
          <w:sz w:val="24"/>
        </w:rPr>
      </w:pPr>
      <w:r w:rsidRPr="0065130F">
        <w:rPr>
          <w:rFonts w:ascii="Times New Roman" w:hAnsi="Times New Roman" w:cs="Times New Roman"/>
          <w:sz w:val="24"/>
        </w:rPr>
        <w:t xml:space="preserve">w terminie, o którym mowa w ust. </w:t>
      </w:r>
      <w:r w:rsidR="00803CAC">
        <w:rPr>
          <w:rFonts w:ascii="Times New Roman" w:hAnsi="Times New Roman" w:cs="Times New Roman"/>
          <w:sz w:val="24"/>
        </w:rPr>
        <w:t>3</w:t>
      </w:r>
      <w:r w:rsidRPr="0065130F">
        <w:rPr>
          <w:rFonts w:ascii="Times New Roman" w:hAnsi="Times New Roman" w:cs="Times New Roman"/>
          <w:sz w:val="24"/>
        </w:rPr>
        <w:t>;</w:t>
      </w:r>
    </w:p>
    <w:p w14:paraId="1F89E886" w14:textId="0F2033FE" w:rsidR="001C2F56" w:rsidRPr="0065130F" w:rsidRDefault="001C2F56" w:rsidP="00223CAE">
      <w:pPr>
        <w:pStyle w:val="Akapitzlist"/>
        <w:numPr>
          <w:ilvl w:val="0"/>
          <w:numId w:val="13"/>
        </w:numPr>
        <w:tabs>
          <w:tab w:val="num" w:pos="1080"/>
        </w:tabs>
        <w:spacing w:after="120"/>
        <w:ind w:left="851" w:hanging="425"/>
        <w:contextualSpacing w:val="0"/>
        <w:jc w:val="both"/>
        <w:rPr>
          <w:rFonts w:ascii="Times New Roman" w:hAnsi="Times New Roman" w:cs="Times New Roman"/>
          <w:sz w:val="24"/>
        </w:rPr>
      </w:pPr>
      <w:r w:rsidRPr="0065130F">
        <w:rPr>
          <w:rFonts w:ascii="Times New Roman" w:hAnsi="Times New Roman" w:cs="Times New Roman"/>
          <w:sz w:val="24"/>
        </w:rPr>
        <w:t xml:space="preserve">do </w:t>
      </w:r>
      <w:r w:rsidR="00666DE0">
        <w:rPr>
          <w:rFonts w:ascii="Times New Roman" w:hAnsi="Times New Roman" w:cs="Times New Roman"/>
          <w:sz w:val="24"/>
        </w:rPr>
        <w:t>PARP</w:t>
      </w:r>
      <w:r w:rsidRPr="0065130F">
        <w:rPr>
          <w:rFonts w:ascii="Times New Roman" w:hAnsi="Times New Roman" w:cs="Times New Roman"/>
          <w:sz w:val="24"/>
        </w:rPr>
        <w:t>;</w:t>
      </w:r>
    </w:p>
    <w:p w14:paraId="08AA2271" w14:textId="43DFFEFC" w:rsidR="001C2F56" w:rsidRPr="0065130F" w:rsidRDefault="001C2F56" w:rsidP="00223CAE">
      <w:pPr>
        <w:pStyle w:val="Akapitzlist"/>
        <w:numPr>
          <w:ilvl w:val="0"/>
          <w:numId w:val="13"/>
        </w:numPr>
        <w:tabs>
          <w:tab w:val="num" w:pos="1080"/>
        </w:tabs>
        <w:spacing w:after="120"/>
        <w:ind w:left="851" w:hanging="425"/>
        <w:contextualSpacing w:val="0"/>
        <w:jc w:val="both"/>
        <w:rPr>
          <w:rFonts w:ascii="Times New Roman" w:hAnsi="Times New Roman" w:cs="Times New Roman"/>
          <w:sz w:val="24"/>
        </w:rPr>
      </w:pPr>
      <w:r w:rsidRPr="0065130F">
        <w:rPr>
          <w:rFonts w:ascii="Times New Roman" w:hAnsi="Times New Roman" w:cs="Times New Roman"/>
          <w:sz w:val="24"/>
        </w:rPr>
        <w:t xml:space="preserve">w naborze nr </w:t>
      </w:r>
      <w:r w:rsidR="00330D82">
        <w:rPr>
          <w:rFonts w:ascii="Times New Roman" w:hAnsi="Times New Roman" w:cs="Times New Roman"/>
          <w:sz w:val="24"/>
        </w:rPr>
        <w:t>2</w:t>
      </w:r>
      <w:r w:rsidR="00330D82" w:rsidRPr="0065130F">
        <w:rPr>
          <w:rFonts w:ascii="Times New Roman" w:hAnsi="Times New Roman" w:cs="Times New Roman"/>
          <w:sz w:val="24"/>
        </w:rPr>
        <w:t xml:space="preserve"> </w:t>
      </w:r>
      <w:r w:rsidRPr="0065130F">
        <w:rPr>
          <w:rFonts w:ascii="Times New Roman" w:hAnsi="Times New Roman" w:cs="Times New Roman"/>
          <w:sz w:val="24"/>
        </w:rPr>
        <w:t xml:space="preserve">rok </w:t>
      </w:r>
      <w:r w:rsidR="00A270E0" w:rsidRPr="0065130F">
        <w:rPr>
          <w:rFonts w:ascii="Times New Roman" w:hAnsi="Times New Roman" w:cs="Times New Roman"/>
          <w:sz w:val="24"/>
        </w:rPr>
        <w:t>201</w:t>
      </w:r>
      <w:r w:rsidR="00A270E0">
        <w:rPr>
          <w:rFonts w:ascii="Times New Roman" w:hAnsi="Times New Roman" w:cs="Times New Roman"/>
          <w:sz w:val="24"/>
        </w:rPr>
        <w:t>8</w:t>
      </w:r>
      <w:r w:rsidR="00A270E0" w:rsidRPr="0065130F">
        <w:rPr>
          <w:rFonts w:ascii="Times New Roman" w:hAnsi="Times New Roman" w:cs="Times New Roman"/>
          <w:sz w:val="24"/>
        </w:rPr>
        <w:t xml:space="preserve"> </w:t>
      </w:r>
      <w:r w:rsidRPr="0065130F">
        <w:rPr>
          <w:rFonts w:ascii="Times New Roman" w:hAnsi="Times New Roman" w:cs="Times New Roman"/>
          <w:sz w:val="24"/>
        </w:rPr>
        <w:t>w ramach pilotażu;</w:t>
      </w:r>
    </w:p>
    <w:p w14:paraId="01F800A7" w14:textId="16D874DC" w:rsidR="00ED382B" w:rsidRDefault="00D31C6B" w:rsidP="00223CAE">
      <w:pPr>
        <w:pStyle w:val="Akapitzlist"/>
        <w:numPr>
          <w:ilvl w:val="0"/>
          <w:numId w:val="13"/>
        </w:numPr>
        <w:tabs>
          <w:tab w:val="num" w:pos="1080"/>
        </w:tabs>
        <w:spacing w:after="120"/>
        <w:ind w:left="851" w:hanging="425"/>
        <w:contextualSpacing w:val="0"/>
        <w:jc w:val="both"/>
        <w:rPr>
          <w:rFonts w:ascii="Times New Roman" w:hAnsi="Times New Roman" w:cs="Times New Roman"/>
          <w:sz w:val="24"/>
        </w:rPr>
      </w:pPr>
      <w:r>
        <w:rPr>
          <w:rFonts w:ascii="Times New Roman" w:hAnsi="Times New Roman" w:cs="Times New Roman"/>
          <w:sz w:val="24"/>
        </w:rPr>
        <w:t xml:space="preserve">według wzoru stanowiącego załącznik nr 2 do Regulaminu </w:t>
      </w:r>
      <w:r w:rsidR="00527255">
        <w:rPr>
          <w:rFonts w:ascii="Times New Roman" w:hAnsi="Times New Roman" w:cs="Times New Roman"/>
          <w:sz w:val="24"/>
        </w:rPr>
        <w:t>nabor</w:t>
      </w:r>
      <w:r>
        <w:rPr>
          <w:rFonts w:ascii="Times New Roman" w:hAnsi="Times New Roman" w:cs="Times New Roman"/>
          <w:sz w:val="24"/>
        </w:rPr>
        <w:t xml:space="preserve">u, </w:t>
      </w:r>
    </w:p>
    <w:p w14:paraId="223DB19B" w14:textId="77777777" w:rsidR="00B47007" w:rsidRPr="0065130F" w:rsidRDefault="001C2F56" w:rsidP="00223CAE">
      <w:pPr>
        <w:pStyle w:val="Akapitzlist"/>
        <w:numPr>
          <w:ilvl w:val="0"/>
          <w:numId w:val="13"/>
        </w:numPr>
        <w:tabs>
          <w:tab w:val="num" w:pos="1080"/>
        </w:tabs>
        <w:spacing w:after="120"/>
        <w:ind w:left="851" w:hanging="425"/>
        <w:contextualSpacing w:val="0"/>
        <w:jc w:val="both"/>
        <w:rPr>
          <w:rFonts w:ascii="Times New Roman" w:hAnsi="Times New Roman" w:cs="Times New Roman"/>
          <w:sz w:val="24"/>
        </w:rPr>
      </w:pPr>
      <w:r w:rsidRPr="0065130F">
        <w:rPr>
          <w:rFonts w:ascii="Times New Roman" w:hAnsi="Times New Roman" w:cs="Times New Roman"/>
          <w:sz w:val="24"/>
        </w:rPr>
        <w:t>zgodnie z zasadami określonymi w §</w:t>
      </w:r>
      <w:r w:rsidR="008B6BD0">
        <w:rPr>
          <w:rFonts w:ascii="Times New Roman" w:hAnsi="Times New Roman" w:cs="Times New Roman"/>
          <w:sz w:val="24"/>
        </w:rPr>
        <w:t xml:space="preserve"> </w:t>
      </w:r>
      <w:r w:rsidRPr="0065130F">
        <w:rPr>
          <w:rFonts w:ascii="Times New Roman" w:hAnsi="Times New Roman" w:cs="Times New Roman"/>
          <w:sz w:val="24"/>
        </w:rPr>
        <w:t>6.</w:t>
      </w:r>
    </w:p>
    <w:p w14:paraId="33D33DDC" w14:textId="0ACBAAA2" w:rsidR="00B47007" w:rsidRPr="00F376AC" w:rsidRDefault="00B47007" w:rsidP="00466098">
      <w:pPr>
        <w:pStyle w:val="Default"/>
        <w:numPr>
          <w:ilvl w:val="0"/>
          <w:numId w:val="1"/>
        </w:numPr>
        <w:spacing w:before="120" w:after="120" w:line="271" w:lineRule="auto"/>
        <w:ind w:left="426" w:hanging="426"/>
        <w:jc w:val="both"/>
        <w:rPr>
          <w:color w:val="auto"/>
        </w:rPr>
      </w:pPr>
      <w:r w:rsidRPr="00CC7265">
        <w:rPr>
          <w:color w:val="auto"/>
        </w:rPr>
        <w:t xml:space="preserve">Kwota </w:t>
      </w:r>
      <w:r w:rsidRPr="00F376AC">
        <w:rPr>
          <w:color w:val="auto"/>
        </w:rPr>
        <w:t xml:space="preserve">środków przeznaczonych na </w:t>
      </w:r>
      <w:r w:rsidR="006F2438" w:rsidRPr="00F376AC">
        <w:rPr>
          <w:color w:val="auto"/>
        </w:rPr>
        <w:t>granty</w:t>
      </w:r>
      <w:r w:rsidR="009D2744" w:rsidRPr="00F376AC">
        <w:rPr>
          <w:color w:val="auto"/>
        </w:rPr>
        <w:t xml:space="preserve"> </w:t>
      </w:r>
      <w:r w:rsidRPr="00F376AC">
        <w:rPr>
          <w:color w:val="auto"/>
        </w:rPr>
        <w:t xml:space="preserve">w pilotażu wynosi </w:t>
      </w:r>
      <w:r w:rsidR="000F03B8" w:rsidRPr="00F376AC">
        <w:rPr>
          <w:color w:val="auto"/>
        </w:rPr>
        <w:t xml:space="preserve">maksymalnie </w:t>
      </w:r>
      <w:r w:rsidR="00F376AC" w:rsidRPr="00F376AC">
        <w:rPr>
          <w:color w:val="auto"/>
        </w:rPr>
        <w:t>3.78</w:t>
      </w:r>
      <w:r w:rsidR="008C269A" w:rsidRPr="00F376AC">
        <w:rPr>
          <w:color w:val="auto"/>
        </w:rPr>
        <w:t>0.</w:t>
      </w:r>
      <w:r w:rsidR="00AA06B7" w:rsidRPr="00F376AC">
        <w:rPr>
          <w:color w:val="auto"/>
        </w:rPr>
        <w:t>000</w:t>
      </w:r>
      <w:r w:rsidR="008C269A" w:rsidRPr="00F376AC">
        <w:rPr>
          <w:color w:val="auto"/>
        </w:rPr>
        <w:t>,00</w:t>
      </w:r>
      <w:r w:rsidRPr="00F376AC">
        <w:rPr>
          <w:color w:val="auto"/>
        </w:rPr>
        <w:t xml:space="preserve"> zł (słownie:</w:t>
      </w:r>
      <w:r w:rsidR="00186B8B" w:rsidRPr="00F376AC">
        <w:rPr>
          <w:color w:val="auto"/>
        </w:rPr>
        <w:t xml:space="preserve"> </w:t>
      </w:r>
      <w:r w:rsidR="00F376AC" w:rsidRPr="00F376AC">
        <w:rPr>
          <w:color w:val="auto"/>
        </w:rPr>
        <w:t xml:space="preserve">trzy </w:t>
      </w:r>
      <w:r w:rsidR="00186B8B" w:rsidRPr="00F376AC">
        <w:rPr>
          <w:color w:val="auto"/>
        </w:rPr>
        <w:t>milion</w:t>
      </w:r>
      <w:r w:rsidR="00F376AC" w:rsidRPr="00F376AC">
        <w:rPr>
          <w:color w:val="auto"/>
        </w:rPr>
        <w:t>y</w:t>
      </w:r>
      <w:r w:rsidR="00186B8B" w:rsidRPr="00F376AC">
        <w:rPr>
          <w:color w:val="auto"/>
        </w:rPr>
        <w:t xml:space="preserve"> </w:t>
      </w:r>
      <w:r w:rsidR="00466098" w:rsidRPr="00F376AC">
        <w:rPr>
          <w:color w:val="auto"/>
        </w:rPr>
        <w:t xml:space="preserve">siedemset </w:t>
      </w:r>
      <w:r w:rsidR="00F376AC" w:rsidRPr="00F376AC">
        <w:rPr>
          <w:color w:val="auto"/>
        </w:rPr>
        <w:t xml:space="preserve">osiemdziesiąt </w:t>
      </w:r>
      <w:r w:rsidR="000F03B8" w:rsidRPr="00F376AC">
        <w:rPr>
          <w:color w:val="auto"/>
        </w:rPr>
        <w:t xml:space="preserve">tysięcy </w:t>
      </w:r>
      <w:r w:rsidRPr="00F376AC">
        <w:rPr>
          <w:color w:val="auto"/>
        </w:rPr>
        <w:t xml:space="preserve">złotych). </w:t>
      </w:r>
    </w:p>
    <w:p w14:paraId="49F8F464" w14:textId="64D443FB" w:rsidR="003D6563" w:rsidRPr="00CC7265" w:rsidRDefault="003D6563" w:rsidP="00466098">
      <w:pPr>
        <w:pStyle w:val="Default"/>
        <w:numPr>
          <w:ilvl w:val="0"/>
          <w:numId w:val="1"/>
        </w:numPr>
        <w:spacing w:before="120" w:after="120" w:line="271" w:lineRule="auto"/>
        <w:ind w:left="426" w:hanging="426"/>
        <w:jc w:val="both"/>
        <w:rPr>
          <w:color w:val="auto"/>
        </w:rPr>
      </w:pPr>
      <w:r w:rsidRPr="00D263BA">
        <w:t xml:space="preserve">Wszystkie terminy realizacji czynności określonych w </w:t>
      </w:r>
      <w:r w:rsidR="00C26922">
        <w:t>R</w:t>
      </w:r>
      <w:r w:rsidRPr="00D263BA">
        <w:t>egulaminie</w:t>
      </w:r>
      <w:r w:rsidR="00C26922">
        <w:t xml:space="preserve"> naboru</w:t>
      </w:r>
      <w:r w:rsidRPr="00D263BA">
        <w:t>, jeśli nie wskazano inaczej, wyrażone są w dniach kalendarzowych.</w:t>
      </w:r>
    </w:p>
    <w:p w14:paraId="6EC48780" w14:textId="47A94076" w:rsidR="00C32E84" w:rsidRDefault="00C32E84" w:rsidP="00466098">
      <w:pPr>
        <w:pStyle w:val="Default"/>
        <w:numPr>
          <w:ilvl w:val="0"/>
          <w:numId w:val="1"/>
        </w:numPr>
        <w:spacing w:before="120" w:after="120" w:line="271" w:lineRule="auto"/>
        <w:ind w:left="426" w:hanging="426"/>
        <w:jc w:val="both"/>
        <w:rPr>
          <w:color w:val="auto"/>
        </w:rPr>
      </w:pPr>
      <w:r w:rsidRPr="00CC7265">
        <w:rPr>
          <w:color w:val="auto"/>
        </w:rPr>
        <w:t xml:space="preserve">Ilekroć w Regulaminie </w:t>
      </w:r>
      <w:r w:rsidR="00C26922">
        <w:rPr>
          <w:color w:val="auto"/>
        </w:rPr>
        <w:t xml:space="preserve">naboru </w:t>
      </w:r>
      <w:r w:rsidRPr="00CC7265">
        <w:rPr>
          <w:color w:val="auto"/>
        </w:rPr>
        <w:t xml:space="preserve">mowa jest o adresie poczty elektronicznej </w:t>
      </w:r>
      <w:r w:rsidR="00C37E2F">
        <w:rPr>
          <w:color w:val="auto"/>
        </w:rPr>
        <w:t>wnioskodawcy</w:t>
      </w:r>
      <w:r w:rsidRPr="00CC7265">
        <w:rPr>
          <w:color w:val="auto"/>
        </w:rPr>
        <w:t>, oznacza to adres e-mail służący do korespondencji</w:t>
      </w:r>
      <w:r w:rsidR="00D54716">
        <w:rPr>
          <w:color w:val="auto"/>
        </w:rPr>
        <w:t>,</w:t>
      </w:r>
      <w:r w:rsidRPr="00CC7265">
        <w:rPr>
          <w:color w:val="auto"/>
        </w:rPr>
        <w:t xml:space="preserve"> </w:t>
      </w:r>
      <w:r w:rsidR="00D54716">
        <w:rPr>
          <w:color w:val="auto"/>
        </w:rPr>
        <w:t>określony w części III</w:t>
      </w:r>
      <w:r w:rsidRPr="00CC7265">
        <w:rPr>
          <w:color w:val="auto"/>
        </w:rPr>
        <w:t xml:space="preserve"> wniosku </w:t>
      </w:r>
      <w:r w:rsidR="00D54716">
        <w:rPr>
          <w:color w:val="auto"/>
        </w:rPr>
        <w:t>o powierzenie grantu, a w przypadku ustanowienia pełnomocnika – w części IV wniosku o powierzenie grantu</w:t>
      </w:r>
      <w:r w:rsidR="005120F2">
        <w:rPr>
          <w:color w:val="auto"/>
        </w:rPr>
        <w:t xml:space="preserve"> (wówczas wymagane jest przekazanie</w:t>
      </w:r>
      <w:r w:rsidR="005120F2" w:rsidRPr="00CC7265">
        <w:rPr>
          <w:color w:val="auto"/>
        </w:rPr>
        <w:t xml:space="preserve"> do </w:t>
      </w:r>
      <w:r w:rsidR="00666DE0">
        <w:rPr>
          <w:color w:val="auto"/>
        </w:rPr>
        <w:t xml:space="preserve">PARP </w:t>
      </w:r>
      <w:r w:rsidR="005120F2" w:rsidRPr="00CC7265">
        <w:rPr>
          <w:color w:val="auto"/>
        </w:rPr>
        <w:t>kopii</w:t>
      </w:r>
      <w:r w:rsidR="005120F2">
        <w:rPr>
          <w:color w:val="auto"/>
        </w:rPr>
        <w:t xml:space="preserve"> </w:t>
      </w:r>
      <w:r w:rsidR="00A54DA8">
        <w:rPr>
          <w:color w:val="auto"/>
        </w:rPr>
        <w:t xml:space="preserve">pełnomocnictwa </w:t>
      </w:r>
      <w:r w:rsidR="005120F2">
        <w:rPr>
          <w:color w:val="auto"/>
        </w:rPr>
        <w:t>poświadczonej za zgodność z oryginałem</w:t>
      </w:r>
      <w:r w:rsidR="005120F2" w:rsidRPr="00CC7265">
        <w:rPr>
          <w:color w:val="auto"/>
        </w:rPr>
        <w:t xml:space="preserve"> lub oryginału pełnomocnictwa</w:t>
      </w:r>
      <w:r w:rsidR="005120F2">
        <w:rPr>
          <w:color w:val="auto"/>
        </w:rPr>
        <w:t>)</w:t>
      </w:r>
      <w:r w:rsidR="00D54716">
        <w:rPr>
          <w:color w:val="auto"/>
        </w:rPr>
        <w:t xml:space="preserve">. </w:t>
      </w:r>
      <w:r w:rsidR="0047503E">
        <w:rPr>
          <w:color w:val="auto"/>
        </w:rPr>
        <w:t xml:space="preserve">Wnioskodawca </w:t>
      </w:r>
      <w:r w:rsidR="00D54716">
        <w:rPr>
          <w:color w:val="auto"/>
        </w:rPr>
        <w:t>jest zobowiązany podać adres, na który należy kierować korespondencję w formie elektronicznej (e-mail) zapewniający skuteczną komunikację pomiędzy PARP a wnioskodawcą przy ocenie wniosku o powierzenie grantu.</w:t>
      </w:r>
      <w:r w:rsidRPr="00CC7265">
        <w:rPr>
          <w:color w:val="auto"/>
        </w:rPr>
        <w:t xml:space="preserve"> </w:t>
      </w:r>
    </w:p>
    <w:p w14:paraId="048F3E47" w14:textId="77777777" w:rsidR="003A75EC" w:rsidRDefault="003A75EC" w:rsidP="003A75EC">
      <w:pPr>
        <w:pStyle w:val="Akapitzlist"/>
        <w:spacing w:after="120"/>
        <w:jc w:val="center"/>
        <w:rPr>
          <w:rFonts w:ascii="Times New Roman" w:hAnsi="Times New Roman" w:cs="Times New Roman"/>
          <w:b/>
        </w:rPr>
      </w:pPr>
    </w:p>
    <w:p w14:paraId="0654D82D" w14:textId="77777777" w:rsidR="003A75EC" w:rsidRPr="00CC7265" w:rsidRDefault="003A75EC" w:rsidP="003A75EC">
      <w:pPr>
        <w:pStyle w:val="Akapitzlist"/>
        <w:spacing w:after="120"/>
        <w:jc w:val="center"/>
        <w:rPr>
          <w:rFonts w:ascii="Times New Roman" w:hAnsi="Times New Roman" w:cs="Times New Roman"/>
          <w:b/>
        </w:rPr>
      </w:pPr>
      <w:r w:rsidRPr="00CC7265">
        <w:rPr>
          <w:rFonts w:ascii="Times New Roman" w:hAnsi="Times New Roman" w:cs="Times New Roman"/>
          <w:b/>
        </w:rPr>
        <w:t>§ 4</w:t>
      </w:r>
    </w:p>
    <w:p w14:paraId="7FF5FA87" w14:textId="77777777" w:rsidR="003A75EC" w:rsidRPr="0098594A" w:rsidRDefault="003A75EC" w:rsidP="003A75EC">
      <w:pPr>
        <w:pStyle w:val="Akapitzlist"/>
        <w:spacing w:after="120"/>
        <w:jc w:val="center"/>
        <w:rPr>
          <w:rFonts w:ascii="Times New Roman" w:hAnsi="Times New Roman" w:cs="Times New Roman"/>
          <w:b/>
          <w:sz w:val="24"/>
        </w:rPr>
      </w:pPr>
      <w:r w:rsidRPr="0098594A">
        <w:rPr>
          <w:rFonts w:ascii="Times New Roman" w:hAnsi="Times New Roman" w:cs="Times New Roman"/>
          <w:b/>
          <w:sz w:val="24"/>
        </w:rPr>
        <w:t xml:space="preserve">Przedmiot </w:t>
      </w:r>
      <w:r w:rsidR="00A1593B" w:rsidRPr="0098594A">
        <w:rPr>
          <w:rFonts w:ascii="Times New Roman" w:hAnsi="Times New Roman" w:cs="Times New Roman"/>
          <w:b/>
          <w:sz w:val="24"/>
        </w:rPr>
        <w:t>naboru</w:t>
      </w:r>
    </w:p>
    <w:p w14:paraId="1A99187D" w14:textId="2B17DF5A" w:rsidR="00A1593B" w:rsidRPr="00CC7265" w:rsidRDefault="00666DE0" w:rsidP="00223CAE">
      <w:pPr>
        <w:pStyle w:val="Default"/>
        <w:numPr>
          <w:ilvl w:val="0"/>
          <w:numId w:val="14"/>
        </w:numPr>
        <w:spacing w:before="120" w:after="120" w:line="271" w:lineRule="auto"/>
        <w:ind w:left="426" w:hanging="426"/>
        <w:jc w:val="both"/>
        <w:rPr>
          <w:color w:val="auto"/>
        </w:rPr>
      </w:pPr>
      <w:r>
        <w:rPr>
          <w:color w:val="auto"/>
        </w:rPr>
        <w:lastRenderedPageBreak/>
        <w:t>PARP</w:t>
      </w:r>
      <w:r w:rsidRPr="00CC7265">
        <w:rPr>
          <w:color w:val="auto"/>
        </w:rPr>
        <w:t xml:space="preserve"> </w:t>
      </w:r>
      <w:r w:rsidR="00A1593B" w:rsidRPr="00CC7265">
        <w:rPr>
          <w:color w:val="auto"/>
        </w:rPr>
        <w:t xml:space="preserve">może powierzyć </w:t>
      </w:r>
      <w:r w:rsidR="00C37E2F">
        <w:rPr>
          <w:color w:val="auto"/>
        </w:rPr>
        <w:t>wnioskodawcy</w:t>
      </w:r>
      <w:r w:rsidR="00C37E2F" w:rsidRPr="00CC7265">
        <w:rPr>
          <w:color w:val="auto"/>
        </w:rPr>
        <w:t xml:space="preserve"> </w:t>
      </w:r>
      <w:r w:rsidR="00A1593B" w:rsidRPr="00CC7265">
        <w:rPr>
          <w:color w:val="auto"/>
        </w:rPr>
        <w:t>grant na przygotowanie studium wykonalności</w:t>
      </w:r>
      <w:r w:rsidR="00ED4218">
        <w:rPr>
          <w:color w:val="auto"/>
        </w:rPr>
        <w:t xml:space="preserve"> dla </w:t>
      </w:r>
      <w:r w:rsidR="00A83BC3">
        <w:rPr>
          <w:color w:val="auto"/>
        </w:rPr>
        <w:t>projektu</w:t>
      </w:r>
      <w:r w:rsidR="00ED4218">
        <w:rPr>
          <w:color w:val="auto"/>
        </w:rPr>
        <w:t xml:space="preserve">, który uzyskał </w:t>
      </w:r>
      <w:r w:rsidR="00ED4218" w:rsidRPr="00CC7265">
        <w:rPr>
          <w:color w:val="auto"/>
        </w:rPr>
        <w:t xml:space="preserve">Seal of Excellence w </w:t>
      </w:r>
      <w:r w:rsidR="00ED4218" w:rsidRPr="00CC7265">
        <w:t>SMEI F1 H2020</w:t>
      </w:r>
      <w:r w:rsidR="00A1593B" w:rsidRPr="00CC7265">
        <w:rPr>
          <w:color w:val="auto"/>
        </w:rPr>
        <w:t xml:space="preserve">. </w:t>
      </w:r>
    </w:p>
    <w:p w14:paraId="7E4D283B" w14:textId="68313F9F" w:rsidR="00A1593B" w:rsidRPr="00A5009D" w:rsidRDefault="00A1593B" w:rsidP="00223CAE">
      <w:pPr>
        <w:pStyle w:val="Default"/>
        <w:numPr>
          <w:ilvl w:val="0"/>
          <w:numId w:val="14"/>
        </w:numPr>
        <w:spacing w:before="120" w:after="120" w:line="271" w:lineRule="auto"/>
        <w:ind w:left="426" w:hanging="426"/>
        <w:jc w:val="both"/>
        <w:rPr>
          <w:color w:val="auto"/>
        </w:rPr>
      </w:pPr>
      <w:r w:rsidRPr="00CC7265">
        <w:rPr>
          <w:color w:val="auto"/>
        </w:rPr>
        <w:t xml:space="preserve">O grant mogą ubiegać się wyłącznie mikroprzedsiębiorcy, mali lub średni przedsiębiorcy prowadzący działalność gospodarczą na terytorium Rzeczpospolitej Polskiej potwierdzoną wpisem do odpowiedniego rejestru </w:t>
      </w:r>
      <w:r w:rsidRPr="00AF09AB">
        <w:rPr>
          <w:color w:val="auto"/>
        </w:rPr>
        <w:t>oraz</w:t>
      </w:r>
      <w:r w:rsidRPr="00CC7265">
        <w:rPr>
          <w:color w:val="auto"/>
        </w:rPr>
        <w:t xml:space="preserve"> posiadając</w:t>
      </w:r>
      <w:r w:rsidR="00BB5F0D" w:rsidRPr="00CC7265">
        <w:rPr>
          <w:color w:val="auto"/>
        </w:rPr>
        <w:t>y</w:t>
      </w:r>
      <w:r w:rsidRPr="00CC7265">
        <w:rPr>
          <w:color w:val="auto"/>
        </w:rPr>
        <w:t xml:space="preserve"> Seal of Excellence w </w:t>
      </w:r>
      <w:r w:rsidRPr="00CC7265">
        <w:t>SMEI F1 H2020</w:t>
      </w:r>
      <w:r w:rsidR="00F64FB5">
        <w:t>, tzn.</w:t>
      </w:r>
      <w:r w:rsidR="00CA2C20">
        <w:t xml:space="preserve"> </w:t>
      </w:r>
      <w:r w:rsidR="00B676A0">
        <w:t>w</w:t>
      </w:r>
      <w:r w:rsidR="00300BEF" w:rsidRPr="00466AA3">
        <w:t xml:space="preserve">nioskodawca uzyskał Seal of Excellence w ramach 1 Fazy Instrumentu MŚP w programie Horyzont 2020 </w:t>
      </w:r>
      <w:r w:rsidR="00300BEF" w:rsidRPr="00AF09AB">
        <w:t>albo</w:t>
      </w:r>
      <w:r w:rsidR="00300BEF" w:rsidRPr="00466AA3">
        <w:t xml:space="preserve"> wnioskodawca nabył autorskie prawa majątkowe oraz prawo zezwalania na wykonywanie zależnych praw autorskich do projektu, który uzyskał  Seal of Excellence w ramach 1 Fazy Instrumentu MŚP w programie Horyzont 2020, a  jego potencjał do realizacji projektu jest nie mniejszy niż podmiotu, który uzyskał Seal of Excellence w ramach 1 Fazy Instrumentu MŚP w programie Horyzont 2020</w:t>
      </w:r>
      <w:r w:rsidR="00706A8A">
        <w:t xml:space="preserve">. </w:t>
      </w:r>
      <w:r w:rsidR="007063D6">
        <w:t>Wnioskodawcy m</w:t>
      </w:r>
      <w:r w:rsidR="00706A8A">
        <w:t>ogą ubiegać się o grant</w:t>
      </w:r>
      <w:r w:rsidRPr="0098594A">
        <w:rPr>
          <w:color w:val="auto"/>
        </w:rPr>
        <w:t xml:space="preserve">, pod warunkiem, że </w:t>
      </w:r>
      <w:r w:rsidR="00706A8A" w:rsidRPr="0098594A">
        <w:rPr>
          <w:color w:val="auto"/>
        </w:rPr>
        <w:t>projekt, którego dotyczy certyfikat</w:t>
      </w:r>
      <w:r w:rsidR="00706A8A" w:rsidRPr="001D2FA6">
        <w:t xml:space="preserve"> </w:t>
      </w:r>
      <w:r w:rsidRPr="0098594A">
        <w:rPr>
          <w:color w:val="auto"/>
        </w:rPr>
        <w:t>nie otrzyma</w:t>
      </w:r>
      <w:r w:rsidR="00706A8A">
        <w:rPr>
          <w:color w:val="auto"/>
        </w:rPr>
        <w:t>ł</w:t>
      </w:r>
      <w:r w:rsidRPr="0098594A">
        <w:rPr>
          <w:color w:val="auto"/>
        </w:rPr>
        <w:t xml:space="preserve"> </w:t>
      </w:r>
      <w:r w:rsidR="00706A8A" w:rsidRPr="0098594A">
        <w:rPr>
          <w:color w:val="auto"/>
        </w:rPr>
        <w:t xml:space="preserve">dofinansowania </w:t>
      </w:r>
      <w:r w:rsidRPr="0098594A">
        <w:rPr>
          <w:color w:val="auto"/>
        </w:rPr>
        <w:t>ze środków publicznych</w:t>
      </w:r>
      <w:r w:rsidR="00706A8A">
        <w:rPr>
          <w:color w:val="auto"/>
        </w:rPr>
        <w:t xml:space="preserve"> </w:t>
      </w:r>
      <w:r w:rsidR="00AF09AB">
        <w:rPr>
          <w:color w:val="auto"/>
        </w:rPr>
        <w:t xml:space="preserve">oraz </w:t>
      </w:r>
      <w:r w:rsidR="005432D7">
        <w:rPr>
          <w:color w:val="auto"/>
        </w:rPr>
        <w:t xml:space="preserve">wniosek dotyczący </w:t>
      </w:r>
      <w:r w:rsidR="005432D7" w:rsidRPr="005432D7">
        <w:rPr>
          <w:color w:val="auto"/>
        </w:rPr>
        <w:t>realizacji projektu badawczo-rozwojowego objętego planowanym studium wykonalności</w:t>
      </w:r>
      <w:r w:rsidR="005432D7">
        <w:rPr>
          <w:sz w:val="18"/>
          <w:szCs w:val="18"/>
          <w:lang w:eastAsia="pl-PL"/>
        </w:rPr>
        <w:t xml:space="preserve"> </w:t>
      </w:r>
      <w:r w:rsidR="001D2FA6">
        <w:rPr>
          <w:color w:val="auto"/>
        </w:rPr>
        <w:t xml:space="preserve">nie </w:t>
      </w:r>
      <w:r w:rsidR="00706A8A">
        <w:rPr>
          <w:color w:val="auto"/>
        </w:rPr>
        <w:t>został złożony</w:t>
      </w:r>
      <w:r w:rsidR="001D2FA6">
        <w:rPr>
          <w:color w:val="auto"/>
        </w:rPr>
        <w:t xml:space="preserve"> do </w:t>
      </w:r>
      <w:r w:rsidR="008138D1">
        <w:rPr>
          <w:color w:val="auto"/>
        </w:rPr>
        <w:t>Fazy 2. Instrumentu MSP w ramach programu Horyzont 2020</w:t>
      </w:r>
      <w:r w:rsidR="008C269A" w:rsidRPr="00A5009D">
        <w:rPr>
          <w:color w:val="auto"/>
        </w:rPr>
        <w:t>.</w:t>
      </w:r>
    </w:p>
    <w:p w14:paraId="710D61CE" w14:textId="1A5F80B3" w:rsidR="008C269A" w:rsidRPr="00CC7265" w:rsidRDefault="008C269A" w:rsidP="00223CAE">
      <w:pPr>
        <w:pStyle w:val="Default"/>
        <w:numPr>
          <w:ilvl w:val="0"/>
          <w:numId w:val="14"/>
        </w:numPr>
        <w:spacing w:before="120" w:after="120" w:line="271" w:lineRule="auto"/>
        <w:ind w:left="426" w:hanging="426"/>
        <w:jc w:val="both"/>
        <w:rPr>
          <w:color w:val="auto"/>
        </w:rPr>
      </w:pPr>
      <w:r w:rsidRPr="00CC7265">
        <w:rPr>
          <w:color w:val="auto"/>
        </w:rPr>
        <w:t xml:space="preserve">W przypadku, gdy </w:t>
      </w:r>
      <w:r w:rsidR="00A5009D">
        <w:rPr>
          <w:color w:val="auto"/>
        </w:rPr>
        <w:t>Seal of Excellence</w:t>
      </w:r>
      <w:r w:rsidR="00A5009D" w:rsidRPr="00CC7265">
        <w:rPr>
          <w:color w:val="auto"/>
        </w:rPr>
        <w:t xml:space="preserve"> </w:t>
      </w:r>
      <w:r w:rsidRPr="00CC7265">
        <w:rPr>
          <w:color w:val="auto"/>
        </w:rPr>
        <w:t>dotyczy projektu składanego przez konsorcjum</w:t>
      </w:r>
      <w:r w:rsidR="005120F2">
        <w:rPr>
          <w:color w:val="auto"/>
        </w:rPr>
        <w:t xml:space="preserve"> projektowe</w:t>
      </w:r>
      <w:r w:rsidRPr="00CC7265">
        <w:rPr>
          <w:color w:val="auto"/>
        </w:rPr>
        <w:t xml:space="preserve">, do aplikowania w </w:t>
      </w:r>
      <w:r w:rsidR="00A5009D">
        <w:rPr>
          <w:color w:val="auto"/>
        </w:rPr>
        <w:t xml:space="preserve">pilotażu </w:t>
      </w:r>
      <w:r w:rsidR="00ED4218">
        <w:rPr>
          <w:color w:val="auto"/>
        </w:rPr>
        <w:t xml:space="preserve">i uzyskania grantu </w:t>
      </w:r>
      <w:r w:rsidRPr="00CC7265">
        <w:rPr>
          <w:color w:val="auto"/>
        </w:rPr>
        <w:t>uprawniony jest jedynie lider konsorcjum</w:t>
      </w:r>
      <w:r w:rsidR="00CC7265">
        <w:rPr>
          <w:color w:val="auto"/>
        </w:rPr>
        <w:t>, spełniający warunki, o których mowa w ust. 2</w:t>
      </w:r>
      <w:r w:rsidR="00C71506">
        <w:rPr>
          <w:color w:val="auto"/>
        </w:rPr>
        <w:t xml:space="preserve"> albo podmiot, który </w:t>
      </w:r>
      <w:r w:rsidR="00063BED">
        <w:rPr>
          <w:color w:val="auto"/>
        </w:rPr>
        <w:t xml:space="preserve">udokumentuje </w:t>
      </w:r>
      <w:r w:rsidR="007A2095">
        <w:rPr>
          <w:color w:val="auto"/>
        </w:rPr>
        <w:t>posiadanie praw do</w:t>
      </w:r>
      <w:r w:rsidR="00063BED">
        <w:rPr>
          <w:color w:val="auto"/>
        </w:rPr>
        <w:t xml:space="preserve"> </w:t>
      </w:r>
      <w:r w:rsidR="001A4BC2">
        <w:rPr>
          <w:color w:val="auto"/>
        </w:rPr>
        <w:t xml:space="preserve">projektu wskazanego we wniosku, który </w:t>
      </w:r>
      <w:r w:rsidR="00032ECA">
        <w:rPr>
          <w:color w:val="auto"/>
        </w:rPr>
        <w:t xml:space="preserve">uzyskał </w:t>
      </w:r>
      <w:r w:rsidR="001A4BC2">
        <w:rPr>
          <w:color w:val="auto"/>
        </w:rPr>
        <w:t>Seal of Excellence,</w:t>
      </w:r>
      <w:r w:rsidR="00C71506" w:rsidRPr="00CA2C20">
        <w:rPr>
          <w:color w:val="auto"/>
        </w:rPr>
        <w:t xml:space="preserve"> a </w:t>
      </w:r>
      <w:r w:rsidR="00032ECA">
        <w:rPr>
          <w:color w:val="auto"/>
        </w:rPr>
        <w:t>jego</w:t>
      </w:r>
      <w:r w:rsidR="00C71506">
        <w:rPr>
          <w:color w:val="auto"/>
        </w:rPr>
        <w:t xml:space="preserve"> </w:t>
      </w:r>
      <w:r w:rsidR="00C71506" w:rsidRPr="00CA2C20">
        <w:rPr>
          <w:color w:val="auto"/>
        </w:rPr>
        <w:t xml:space="preserve">potencjał do realizacji projektu jest </w:t>
      </w:r>
      <w:r w:rsidR="002C3421">
        <w:rPr>
          <w:color w:val="auto"/>
        </w:rPr>
        <w:t>nie mniejszy niż wnioskodawcy wskazanego w Seal of Excellence</w:t>
      </w:r>
      <w:r w:rsidRPr="00CC7265">
        <w:rPr>
          <w:color w:val="auto"/>
        </w:rPr>
        <w:t>.</w:t>
      </w:r>
    </w:p>
    <w:p w14:paraId="296E1E23" w14:textId="77777777" w:rsidR="00BB5F0D" w:rsidRPr="00CC7265" w:rsidRDefault="00BB5F0D" w:rsidP="00223CAE">
      <w:pPr>
        <w:pStyle w:val="Default"/>
        <w:numPr>
          <w:ilvl w:val="0"/>
          <w:numId w:val="14"/>
        </w:numPr>
        <w:spacing w:before="120" w:after="120" w:line="271" w:lineRule="auto"/>
        <w:ind w:left="426" w:hanging="426"/>
        <w:jc w:val="both"/>
        <w:rPr>
          <w:color w:val="auto"/>
        </w:rPr>
      </w:pPr>
      <w:r w:rsidRPr="00CC7265">
        <w:rPr>
          <w:color w:val="auto"/>
        </w:rPr>
        <w:t>Grant stanowi:</w:t>
      </w:r>
    </w:p>
    <w:p w14:paraId="0086F9C3" w14:textId="7714AD7A" w:rsidR="00BB5F0D" w:rsidRPr="00CC7265" w:rsidRDefault="00BB5F0D" w:rsidP="00223CAE">
      <w:pPr>
        <w:pStyle w:val="Default"/>
        <w:numPr>
          <w:ilvl w:val="0"/>
          <w:numId w:val="15"/>
        </w:numPr>
        <w:spacing w:before="120" w:after="120" w:line="271" w:lineRule="auto"/>
        <w:ind w:left="993" w:hanging="426"/>
        <w:jc w:val="both"/>
        <w:rPr>
          <w:color w:val="auto"/>
        </w:rPr>
      </w:pPr>
      <w:r w:rsidRPr="00CC7265">
        <w:rPr>
          <w:color w:val="auto"/>
        </w:rPr>
        <w:t>pomoc publiczną udzielaną zgodnie z przepisami rozdziału I, art. 25</w:t>
      </w:r>
      <w:r w:rsidR="00A5009D">
        <w:rPr>
          <w:color w:val="auto"/>
        </w:rPr>
        <w:t xml:space="preserve"> ust</w:t>
      </w:r>
      <w:r w:rsidR="000B308D">
        <w:rPr>
          <w:color w:val="auto"/>
        </w:rPr>
        <w:t>.</w:t>
      </w:r>
      <w:r w:rsidR="00A5009D">
        <w:rPr>
          <w:color w:val="auto"/>
        </w:rPr>
        <w:t xml:space="preserve"> 2</w:t>
      </w:r>
      <w:r w:rsidRPr="00CC7265">
        <w:rPr>
          <w:color w:val="auto"/>
        </w:rPr>
        <w:t xml:space="preserve"> </w:t>
      </w:r>
      <w:r w:rsidR="00BB2301">
        <w:rPr>
          <w:color w:val="auto"/>
        </w:rPr>
        <w:t xml:space="preserve">lit. d, </w:t>
      </w:r>
      <w:r w:rsidRPr="00CC7265">
        <w:rPr>
          <w:color w:val="auto"/>
        </w:rPr>
        <w:t>rozdziału II</w:t>
      </w:r>
      <w:r w:rsidR="00B832CD">
        <w:rPr>
          <w:color w:val="auto"/>
        </w:rPr>
        <w:t>I</w:t>
      </w:r>
      <w:r w:rsidRPr="00CC7265">
        <w:rPr>
          <w:color w:val="auto"/>
        </w:rPr>
        <w:t xml:space="preserve"> oraz rozdziału IV rozporządzenia KE nr 651/2014 </w:t>
      </w:r>
      <w:r w:rsidR="00A5009D">
        <w:rPr>
          <w:color w:val="auto"/>
        </w:rPr>
        <w:t>albo</w:t>
      </w:r>
    </w:p>
    <w:p w14:paraId="55286789" w14:textId="6C7ADE9B" w:rsidR="00BB5F0D" w:rsidRPr="00CC7265" w:rsidRDefault="00BB5F0D" w:rsidP="00223CAE">
      <w:pPr>
        <w:pStyle w:val="Default"/>
        <w:numPr>
          <w:ilvl w:val="0"/>
          <w:numId w:val="15"/>
        </w:numPr>
        <w:spacing w:before="120" w:after="120" w:line="271" w:lineRule="auto"/>
        <w:ind w:left="993" w:hanging="426"/>
        <w:jc w:val="both"/>
        <w:rPr>
          <w:color w:val="auto"/>
        </w:rPr>
      </w:pPr>
      <w:r w:rsidRPr="00CC7265">
        <w:rPr>
          <w:color w:val="auto"/>
        </w:rPr>
        <w:t>pomoc de minimis udzielaną zgodnie z rozporządzeniem KE nr 1407/2013</w:t>
      </w:r>
      <w:r w:rsidR="0012293C">
        <w:rPr>
          <w:color w:val="auto"/>
        </w:rPr>
        <w:t xml:space="preserve"> oraz </w:t>
      </w:r>
      <w:r w:rsidR="00BB2301">
        <w:rPr>
          <w:color w:val="auto"/>
        </w:rPr>
        <w:t>§ </w:t>
      </w:r>
      <w:r w:rsidR="0012293C">
        <w:rPr>
          <w:color w:val="auto"/>
        </w:rPr>
        <w:t xml:space="preserve">42 pkt 19 </w:t>
      </w:r>
      <w:r w:rsidR="0012293C">
        <w:t>rozporządzenia</w:t>
      </w:r>
      <w:r w:rsidR="00D31C6B">
        <w:rPr>
          <w:color w:val="auto"/>
        </w:rPr>
        <w:t>.</w:t>
      </w:r>
    </w:p>
    <w:p w14:paraId="0A18C75E" w14:textId="727B68E8" w:rsidR="00236F3C" w:rsidRPr="00CC7265" w:rsidRDefault="00A5009D" w:rsidP="00223CAE">
      <w:pPr>
        <w:pStyle w:val="Default"/>
        <w:numPr>
          <w:ilvl w:val="0"/>
          <w:numId w:val="14"/>
        </w:numPr>
        <w:spacing w:before="120" w:after="120" w:line="271" w:lineRule="auto"/>
        <w:ind w:left="426" w:hanging="426"/>
        <w:jc w:val="both"/>
        <w:rPr>
          <w:color w:val="auto"/>
        </w:rPr>
      </w:pPr>
      <w:r>
        <w:rPr>
          <w:color w:val="auto"/>
        </w:rPr>
        <w:t xml:space="preserve">Wyboru podstawy udzielania pomocy, o której mowa w ust. 4, dokonuje </w:t>
      </w:r>
      <w:r w:rsidR="003A0944">
        <w:rPr>
          <w:color w:val="auto"/>
        </w:rPr>
        <w:t>w</w:t>
      </w:r>
      <w:r w:rsidR="00C37E2F">
        <w:rPr>
          <w:color w:val="auto"/>
        </w:rPr>
        <w:t>nioskodawca</w:t>
      </w:r>
      <w:r w:rsidR="00236F3C" w:rsidRPr="00CC7265">
        <w:rPr>
          <w:color w:val="auto"/>
        </w:rPr>
        <w:t>.</w:t>
      </w:r>
    </w:p>
    <w:p w14:paraId="73A522DC" w14:textId="6271BB0A" w:rsidR="00AF4AC9" w:rsidRPr="00CC7265" w:rsidRDefault="00AF4AC9" w:rsidP="00223CAE">
      <w:pPr>
        <w:pStyle w:val="Default"/>
        <w:numPr>
          <w:ilvl w:val="0"/>
          <w:numId w:val="14"/>
        </w:numPr>
        <w:spacing w:before="120" w:after="120" w:line="271" w:lineRule="auto"/>
        <w:ind w:left="426" w:hanging="426"/>
        <w:jc w:val="both"/>
        <w:rPr>
          <w:color w:val="auto"/>
        </w:rPr>
      </w:pPr>
      <w:r w:rsidRPr="00CC7265">
        <w:t xml:space="preserve">Pomoc de minimis może być udzielona </w:t>
      </w:r>
      <w:r w:rsidR="00C37E2F">
        <w:t>wnioskodawcy</w:t>
      </w:r>
      <w:r w:rsidRPr="00CC7265">
        <w:t xml:space="preserve">, jeżeli wartość tej pomocy brutto łącznie z wartością innej pomocy de minimis otrzymanej przez jednego przedsiębiorcę w rozumieniu art. 2 ust. 2 rozporządzenia </w:t>
      </w:r>
      <w:r w:rsidR="00A5009D">
        <w:t>KE</w:t>
      </w:r>
      <w:r w:rsidRPr="00CC7265">
        <w:t xml:space="preserve"> nr 1407/2013, w okresie bieżącego roku i dwóch poprzednich lat podatkowych nie przekracza kwoty stanowiącej równowartość 200</w:t>
      </w:r>
      <w:r w:rsidR="00491ABF">
        <w:t> </w:t>
      </w:r>
      <w:r w:rsidRPr="00CC7265">
        <w:t>000 euro, a w przypadku przedsiębiorcy prowadzącego działalność w sektorze drogowego transportu towarów - 100 000 euro oraz spełnione są inne warunki określone w odrębnych przepisach prawa. Do celów ustalenia dopuszczalnego pułapu pomocy de minimis przez jednego przedsiębiorcę rozumie się jedno przedsiębiorstwo, o którym mowa w art. 2 ust. 2 rozporządzenia KE nr 1407/2013.</w:t>
      </w:r>
    </w:p>
    <w:p w14:paraId="1B35D3ED" w14:textId="749E7B46" w:rsidR="00DB4130" w:rsidRPr="00F203B0" w:rsidRDefault="008138D1" w:rsidP="00223CAE">
      <w:pPr>
        <w:pStyle w:val="Default"/>
        <w:numPr>
          <w:ilvl w:val="0"/>
          <w:numId w:val="14"/>
        </w:numPr>
        <w:spacing w:before="120" w:after="120" w:line="271" w:lineRule="auto"/>
        <w:ind w:left="426" w:hanging="426"/>
        <w:jc w:val="both"/>
        <w:rPr>
          <w:color w:val="auto"/>
        </w:rPr>
      </w:pPr>
      <w:r>
        <w:rPr>
          <w:color w:val="auto"/>
        </w:rPr>
        <w:t>Wykluczenia z możliwości powierzenia grantu:</w:t>
      </w:r>
    </w:p>
    <w:p w14:paraId="129029AE" w14:textId="77777777" w:rsidR="00A54473" w:rsidRDefault="00A54473" w:rsidP="00223CAE">
      <w:pPr>
        <w:pStyle w:val="Default"/>
        <w:numPr>
          <w:ilvl w:val="0"/>
          <w:numId w:val="21"/>
        </w:numPr>
        <w:spacing w:before="120" w:after="120" w:line="268" w:lineRule="auto"/>
        <w:jc w:val="both"/>
        <w:rPr>
          <w:color w:val="auto"/>
        </w:rPr>
      </w:pPr>
      <w:r>
        <w:rPr>
          <w:color w:val="auto"/>
        </w:rPr>
        <w:t xml:space="preserve">na podstawie art. 6b ust. 3 ustawy o PARP; </w:t>
      </w:r>
    </w:p>
    <w:p w14:paraId="3F9BA95E" w14:textId="77777777" w:rsidR="00A54473" w:rsidRDefault="00A54473" w:rsidP="00223CAE">
      <w:pPr>
        <w:pStyle w:val="Default"/>
        <w:numPr>
          <w:ilvl w:val="0"/>
          <w:numId w:val="21"/>
        </w:numPr>
        <w:spacing w:before="120" w:after="120" w:line="268" w:lineRule="auto"/>
        <w:jc w:val="both"/>
        <w:rPr>
          <w:color w:val="auto"/>
        </w:rPr>
      </w:pPr>
      <w:r>
        <w:rPr>
          <w:color w:val="auto"/>
        </w:rPr>
        <w:t xml:space="preserve">na podstawie art. 207 ust. 4 ustawy z dnia 27 sierpnia 2009 r. o finansach publicznych; </w:t>
      </w:r>
    </w:p>
    <w:p w14:paraId="44267E53" w14:textId="728B2ACC" w:rsidR="00B25A6B" w:rsidRPr="00B25A6B" w:rsidRDefault="00B25A6B" w:rsidP="00223CAE">
      <w:pPr>
        <w:pStyle w:val="Default"/>
        <w:numPr>
          <w:ilvl w:val="0"/>
          <w:numId w:val="21"/>
        </w:numPr>
        <w:spacing w:before="120" w:after="120" w:line="268" w:lineRule="auto"/>
        <w:jc w:val="both"/>
        <w:rPr>
          <w:color w:val="auto"/>
        </w:rPr>
      </w:pPr>
      <w:r w:rsidRPr="00F203B0">
        <w:lastRenderedPageBreak/>
        <w:t>na podstawie art. 211 ust. 2 ustawy z dnia 30 czerwca 2005 r. o finansach publicznych (Dz. U. Nr 249, poz. 2104, z</w:t>
      </w:r>
      <w:r w:rsidR="00337725">
        <w:t>e</w:t>
      </w:r>
      <w:r w:rsidR="009F26F3">
        <w:t xml:space="preserve"> </w:t>
      </w:r>
      <w:r w:rsidRPr="00F203B0">
        <w:t>zm.);</w:t>
      </w:r>
    </w:p>
    <w:p w14:paraId="6451B3A3" w14:textId="47C8A21D" w:rsidR="00A54473" w:rsidRDefault="00A54473" w:rsidP="00223CAE">
      <w:pPr>
        <w:pStyle w:val="Default"/>
        <w:numPr>
          <w:ilvl w:val="0"/>
          <w:numId w:val="21"/>
        </w:numPr>
        <w:spacing w:before="120" w:after="120" w:line="268" w:lineRule="auto"/>
        <w:jc w:val="both"/>
        <w:rPr>
          <w:bCs/>
        </w:rPr>
      </w:pPr>
      <w:r>
        <w:rPr>
          <w:color w:val="auto"/>
        </w:rPr>
        <w:t>wobec którego orzeczono zakaz, o którym mowa w art. 12 ust. 1 pkt 1 ustawy z dnia 15 czerwca 2012 r. o skutkach powierzania wykonywania pracy cudzoziemcom przebywającym wbrew</w:t>
      </w:r>
      <w:r>
        <w:rPr>
          <w:bCs/>
        </w:rPr>
        <w:t xml:space="preserve"> przepisom na terytorium Rzeczypospolitej Polskiej (Dz. U. </w:t>
      </w:r>
      <w:r w:rsidR="00B4258C">
        <w:rPr>
          <w:bCs/>
        </w:rPr>
        <w:t xml:space="preserve">z 2012 r. </w:t>
      </w:r>
      <w:r>
        <w:rPr>
          <w:bCs/>
        </w:rPr>
        <w:t>poz. 769) lub zakaz, o którym mowa w art. 9 ust. 1 pkt 2a ustawy z dnia 28 października 2002 r. o odpowiedzialności podmiotów zbiorowych za czyny zabronione pod groźbą kary (Dz. U. z 2016 r. poz. 1541</w:t>
      </w:r>
      <w:r w:rsidR="00B4258C">
        <w:rPr>
          <w:bCs/>
        </w:rPr>
        <w:t>, z późn. zm.</w:t>
      </w:r>
      <w:r>
        <w:rPr>
          <w:bCs/>
        </w:rPr>
        <w:t>);</w:t>
      </w:r>
    </w:p>
    <w:p w14:paraId="2D654DE8" w14:textId="77777777" w:rsidR="00A54473" w:rsidRDefault="00A54473" w:rsidP="00223CAE">
      <w:pPr>
        <w:pStyle w:val="Akapitzlist"/>
        <w:numPr>
          <w:ilvl w:val="0"/>
          <w:numId w:val="21"/>
        </w:numPr>
        <w:spacing w:after="120"/>
        <w:jc w:val="both"/>
        <w:rPr>
          <w:rFonts w:ascii="Times New Roman" w:hAnsi="Times New Roman" w:cs="Times New Roman"/>
          <w:bCs/>
          <w:sz w:val="24"/>
        </w:rPr>
      </w:pPr>
      <w:r>
        <w:rPr>
          <w:rFonts w:ascii="Times New Roman" w:hAnsi="Times New Roman" w:cs="Times New Roman"/>
          <w:bCs/>
          <w:sz w:val="24"/>
        </w:rPr>
        <w:t>który znajduje się w trudnej sytuacji w rozumieniu unijnych przepisów dotyczących pomocy państwa w szczególności rozporządzenia KE nr 651/2014;</w:t>
      </w:r>
    </w:p>
    <w:p w14:paraId="226A8105" w14:textId="77777777" w:rsidR="00A54473" w:rsidRDefault="00A54473" w:rsidP="00223CAE">
      <w:pPr>
        <w:pStyle w:val="Akapitzlist"/>
        <w:numPr>
          <w:ilvl w:val="0"/>
          <w:numId w:val="21"/>
        </w:numPr>
        <w:spacing w:after="120"/>
        <w:jc w:val="both"/>
        <w:rPr>
          <w:rFonts w:ascii="Times New Roman" w:hAnsi="Times New Roman" w:cs="Times New Roman"/>
          <w:bCs/>
          <w:sz w:val="24"/>
        </w:rPr>
      </w:pPr>
      <w:r>
        <w:rPr>
          <w:rFonts w:ascii="Times New Roman" w:hAnsi="Times New Roman" w:cs="Times New Roman"/>
          <w:bCs/>
          <w:sz w:val="24"/>
        </w:rPr>
        <w:t>na którym ciąży obowiązek zwrotu pomocy wynikający z decyzji Komisji Europejskiej uznającej pomoc za niezgodną z prawem oraz rynkiem wewnętrznym.</w:t>
      </w:r>
    </w:p>
    <w:p w14:paraId="51474712" w14:textId="03748392" w:rsidR="00BB5F0D" w:rsidRPr="00320546" w:rsidRDefault="005653EF" w:rsidP="00223CAE">
      <w:pPr>
        <w:pStyle w:val="Akapitzlist"/>
        <w:numPr>
          <w:ilvl w:val="0"/>
          <w:numId w:val="14"/>
        </w:numPr>
        <w:spacing w:after="120"/>
        <w:ind w:left="426" w:hanging="426"/>
        <w:contextualSpacing w:val="0"/>
        <w:jc w:val="both"/>
        <w:rPr>
          <w:rFonts w:ascii="Times New Roman" w:hAnsi="Times New Roman" w:cs="Times New Roman"/>
          <w:bCs/>
          <w:sz w:val="24"/>
          <w:szCs w:val="24"/>
        </w:rPr>
      </w:pPr>
      <w:r w:rsidRPr="009F1B3B">
        <w:rPr>
          <w:rFonts w:ascii="Times New Roman" w:hAnsi="Times New Roman" w:cs="Times New Roman"/>
          <w:sz w:val="24"/>
          <w:szCs w:val="24"/>
        </w:rPr>
        <w:t xml:space="preserve">Grant nie może być </w:t>
      </w:r>
      <w:r w:rsidR="00721A43">
        <w:rPr>
          <w:rFonts w:ascii="Times New Roman" w:hAnsi="Times New Roman" w:cs="Times New Roman"/>
          <w:sz w:val="24"/>
          <w:szCs w:val="24"/>
        </w:rPr>
        <w:t>powierzony</w:t>
      </w:r>
      <w:r w:rsidR="00721A43" w:rsidRPr="009F1B3B">
        <w:rPr>
          <w:rFonts w:ascii="Times New Roman" w:hAnsi="Times New Roman" w:cs="Times New Roman"/>
          <w:sz w:val="24"/>
          <w:szCs w:val="24"/>
        </w:rPr>
        <w:t xml:space="preserve"> </w:t>
      </w:r>
      <w:r w:rsidR="00BB5F0D" w:rsidRPr="009F1B3B">
        <w:rPr>
          <w:rFonts w:ascii="Times New Roman" w:hAnsi="Times New Roman" w:cs="Times New Roman"/>
          <w:sz w:val="24"/>
          <w:szCs w:val="24"/>
        </w:rPr>
        <w:t xml:space="preserve">w przypadkach </w:t>
      </w:r>
      <w:r w:rsidR="00BB5F0D" w:rsidRPr="009F1B3B">
        <w:rPr>
          <w:rFonts w:ascii="Times New Roman" w:hAnsi="Times New Roman" w:cs="Times New Roman"/>
          <w:color w:val="000000"/>
          <w:sz w:val="24"/>
          <w:szCs w:val="24"/>
        </w:rPr>
        <w:t xml:space="preserve">wskazanych w § 4 ust. 3 rozporządzenia, w art. 1 </w:t>
      </w:r>
      <w:r w:rsidR="00B4258C">
        <w:rPr>
          <w:rFonts w:ascii="Times New Roman" w:hAnsi="Times New Roman" w:cs="Times New Roman"/>
          <w:color w:val="000000"/>
          <w:sz w:val="24"/>
          <w:szCs w:val="24"/>
        </w:rPr>
        <w:t xml:space="preserve">ust. 2-5 </w:t>
      </w:r>
      <w:r w:rsidR="00BB5F0D" w:rsidRPr="009F1B3B">
        <w:rPr>
          <w:rFonts w:ascii="Times New Roman" w:hAnsi="Times New Roman" w:cs="Times New Roman"/>
          <w:color w:val="000000"/>
          <w:sz w:val="24"/>
          <w:szCs w:val="24"/>
        </w:rPr>
        <w:t>rozporządzenia K</w:t>
      </w:r>
      <w:r w:rsidR="00BB5F0D" w:rsidRPr="0001038E">
        <w:rPr>
          <w:rFonts w:ascii="Times New Roman" w:hAnsi="Times New Roman" w:cs="Times New Roman"/>
          <w:sz w:val="24"/>
          <w:szCs w:val="24"/>
        </w:rPr>
        <w:t>E nr 651/2014</w:t>
      </w:r>
      <w:r w:rsidR="00BB5F0D" w:rsidRPr="0001038E">
        <w:rPr>
          <w:rFonts w:ascii="Times New Roman" w:hAnsi="Times New Roman" w:cs="Times New Roman"/>
          <w:color w:val="000000"/>
          <w:sz w:val="24"/>
          <w:szCs w:val="24"/>
        </w:rPr>
        <w:t>, w art. 3 ust</w:t>
      </w:r>
      <w:r w:rsidR="00B4258C">
        <w:rPr>
          <w:rFonts w:ascii="Times New Roman" w:hAnsi="Times New Roman" w:cs="Times New Roman"/>
          <w:color w:val="000000"/>
          <w:sz w:val="24"/>
          <w:szCs w:val="24"/>
        </w:rPr>
        <w:t>.</w:t>
      </w:r>
      <w:r w:rsidR="00BB5F0D" w:rsidRPr="0001038E">
        <w:rPr>
          <w:rFonts w:ascii="Times New Roman" w:hAnsi="Times New Roman" w:cs="Times New Roman"/>
          <w:color w:val="000000"/>
          <w:sz w:val="24"/>
          <w:szCs w:val="24"/>
        </w:rPr>
        <w:t xml:space="preserve"> 3 </w:t>
      </w:r>
      <w:r w:rsidR="00BB5F0D" w:rsidRPr="00DC092A">
        <w:rPr>
          <w:rFonts w:ascii="Times New Roman" w:hAnsi="Times New Roman" w:cs="Times New Roman"/>
          <w:sz w:val="24"/>
          <w:szCs w:val="24"/>
        </w:rPr>
        <w:t>rozporządzenia</w:t>
      </w:r>
      <w:r w:rsidR="00BB5F0D" w:rsidRPr="00DC092A">
        <w:rPr>
          <w:rFonts w:ascii="Times New Roman" w:hAnsi="Times New Roman" w:cs="Times New Roman"/>
          <w:b/>
          <w:sz w:val="24"/>
          <w:szCs w:val="24"/>
        </w:rPr>
        <w:t xml:space="preserve"> </w:t>
      </w:r>
      <w:r w:rsidR="00BB5F0D" w:rsidRPr="00DC092A">
        <w:rPr>
          <w:rFonts w:ascii="Times New Roman" w:hAnsi="Times New Roman" w:cs="Times New Roman"/>
          <w:sz w:val="24"/>
          <w:szCs w:val="24"/>
        </w:rPr>
        <w:t>nr 1301/2013</w:t>
      </w:r>
      <w:r w:rsidR="00D31C6B" w:rsidRPr="00DC092A">
        <w:rPr>
          <w:rFonts w:ascii="Times New Roman" w:hAnsi="Times New Roman" w:cs="Times New Roman"/>
          <w:sz w:val="24"/>
          <w:szCs w:val="24"/>
        </w:rPr>
        <w:t xml:space="preserve"> </w:t>
      </w:r>
      <w:r w:rsidR="00B4258C">
        <w:rPr>
          <w:rFonts w:ascii="Times New Roman" w:hAnsi="Times New Roman" w:cs="Times New Roman"/>
          <w:sz w:val="24"/>
          <w:szCs w:val="24"/>
        </w:rPr>
        <w:t>oraz</w:t>
      </w:r>
      <w:r w:rsidR="00C8530E" w:rsidRPr="00BE1BD4">
        <w:rPr>
          <w:rFonts w:ascii="Times New Roman" w:hAnsi="Times New Roman" w:cs="Times New Roman"/>
          <w:sz w:val="24"/>
          <w:szCs w:val="24"/>
        </w:rPr>
        <w:t xml:space="preserve"> </w:t>
      </w:r>
      <w:r w:rsidR="00BB5F0D" w:rsidRPr="00BE1BD4">
        <w:rPr>
          <w:rFonts w:ascii="Times New Roman" w:hAnsi="Times New Roman" w:cs="Times New Roman"/>
          <w:sz w:val="24"/>
          <w:szCs w:val="24"/>
        </w:rPr>
        <w:t xml:space="preserve">w art. 1 ust. 1 rozporządzenia KE nr 1407/2013. </w:t>
      </w:r>
    </w:p>
    <w:p w14:paraId="367E5761" w14:textId="228B77F9" w:rsidR="003A75EC" w:rsidRPr="003E7A50" w:rsidRDefault="00C37E2F" w:rsidP="00223CAE">
      <w:pPr>
        <w:pStyle w:val="Akapitzlist"/>
        <w:numPr>
          <w:ilvl w:val="0"/>
          <w:numId w:val="14"/>
        </w:numPr>
        <w:spacing w:after="120"/>
        <w:ind w:left="425" w:hanging="425"/>
        <w:contextualSpacing w:val="0"/>
        <w:jc w:val="both"/>
        <w:rPr>
          <w:rFonts w:ascii="Times New Roman" w:hAnsi="Times New Roman" w:cs="Times New Roman"/>
          <w:sz w:val="24"/>
          <w:szCs w:val="24"/>
        </w:rPr>
      </w:pPr>
      <w:r w:rsidRPr="00E33C6B">
        <w:rPr>
          <w:rFonts w:ascii="Times New Roman" w:hAnsi="Times New Roman" w:cs="Times New Roman"/>
          <w:color w:val="000000"/>
          <w:sz w:val="24"/>
          <w:szCs w:val="24"/>
        </w:rPr>
        <w:t>Wnioskodawca</w:t>
      </w:r>
      <w:r w:rsidR="00BB5F0D" w:rsidRPr="00E33C6B">
        <w:rPr>
          <w:rFonts w:ascii="Times New Roman" w:hAnsi="Times New Roman" w:cs="Times New Roman"/>
          <w:color w:val="000000"/>
          <w:sz w:val="24"/>
          <w:szCs w:val="24"/>
        </w:rPr>
        <w:t xml:space="preserve"> oraz projekt </w:t>
      </w:r>
      <w:r w:rsidR="004871E7">
        <w:rPr>
          <w:rFonts w:ascii="Times New Roman" w:hAnsi="Times New Roman" w:cs="Times New Roman"/>
          <w:color w:val="000000"/>
          <w:sz w:val="24"/>
          <w:szCs w:val="24"/>
        </w:rPr>
        <w:t xml:space="preserve">na dzień powierzenia grantu </w:t>
      </w:r>
      <w:r w:rsidR="00BB5F0D" w:rsidRPr="00E33C6B">
        <w:rPr>
          <w:rFonts w:ascii="Times New Roman" w:hAnsi="Times New Roman" w:cs="Times New Roman"/>
          <w:color w:val="000000"/>
          <w:sz w:val="24"/>
          <w:szCs w:val="24"/>
        </w:rPr>
        <w:t xml:space="preserve">muszą spełnić kryteria </w:t>
      </w:r>
      <w:r w:rsidR="00ED382B" w:rsidRPr="00E33C6B">
        <w:rPr>
          <w:rFonts w:ascii="Times New Roman" w:hAnsi="Times New Roman" w:cs="Times New Roman"/>
          <w:color w:val="000000"/>
          <w:sz w:val="24"/>
          <w:szCs w:val="24"/>
        </w:rPr>
        <w:t xml:space="preserve">wyboru projektu </w:t>
      </w:r>
      <w:r w:rsidR="00721A43">
        <w:rPr>
          <w:rFonts w:ascii="Times New Roman" w:hAnsi="Times New Roman" w:cs="Times New Roman"/>
          <w:color w:val="000000"/>
          <w:sz w:val="24"/>
          <w:szCs w:val="24"/>
        </w:rPr>
        <w:t>w ramach pilotażu</w:t>
      </w:r>
      <w:r w:rsidR="00BB5F0D" w:rsidRPr="00E33C6B">
        <w:rPr>
          <w:rFonts w:ascii="Times New Roman" w:hAnsi="Times New Roman" w:cs="Times New Roman"/>
          <w:color w:val="000000"/>
          <w:sz w:val="24"/>
          <w:szCs w:val="24"/>
        </w:rPr>
        <w:t xml:space="preserve">, które są zawarte w załączniku nr </w:t>
      </w:r>
      <w:r w:rsidR="00ED382B" w:rsidRPr="00E33C6B">
        <w:rPr>
          <w:rFonts w:ascii="Times New Roman" w:hAnsi="Times New Roman" w:cs="Times New Roman"/>
          <w:color w:val="000000"/>
          <w:sz w:val="24"/>
          <w:szCs w:val="24"/>
        </w:rPr>
        <w:t xml:space="preserve">3 </w:t>
      </w:r>
      <w:r w:rsidR="00BB5F0D" w:rsidRPr="00E33C6B">
        <w:rPr>
          <w:rFonts w:ascii="Times New Roman" w:hAnsi="Times New Roman" w:cs="Times New Roman"/>
          <w:color w:val="000000"/>
          <w:sz w:val="24"/>
          <w:szCs w:val="24"/>
        </w:rPr>
        <w:t xml:space="preserve">do </w:t>
      </w:r>
      <w:r w:rsidR="00D31C6B" w:rsidRPr="00E33C6B">
        <w:rPr>
          <w:rFonts w:ascii="Times New Roman" w:hAnsi="Times New Roman" w:cs="Times New Roman"/>
          <w:color w:val="000000"/>
          <w:sz w:val="24"/>
          <w:szCs w:val="24"/>
        </w:rPr>
        <w:t>R</w:t>
      </w:r>
      <w:r w:rsidR="00BB5F0D" w:rsidRPr="00F2698A">
        <w:rPr>
          <w:rFonts w:ascii="Times New Roman" w:hAnsi="Times New Roman" w:cs="Times New Roman"/>
          <w:color w:val="000000"/>
          <w:sz w:val="24"/>
          <w:szCs w:val="24"/>
        </w:rPr>
        <w:t>egulaminu</w:t>
      </w:r>
      <w:r w:rsidR="00D31C6B" w:rsidRPr="00F2698A">
        <w:rPr>
          <w:rFonts w:ascii="Times New Roman" w:hAnsi="Times New Roman" w:cs="Times New Roman"/>
          <w:color w:val="000000"/>
          <w:sz w:val="24"/>
          <w:szCs w:val="24"/>
        </w:rPr>
        <w:t xml:space="preserve"> </w:t>
      </w:r>
      <w:r w:rsidR="00527255" w:rsidRPr="005F3811">
        <w:rPr>
          <w:rFonts w:ascii="Times New Roman" w:hAnsi="Times New Roman" w:cs="Times New Roman"/>
          <w:color w:val="000000"/>
          <w:sz w:val="24"/>
          <w:szCs w:val="24"/>
        </w:rPr>
        <w:t>nabor</w:t>
      </w:r>
      <w:r w:rsidR="00D31C6B" w:rsidRPr="005F3811">
        <w:rPr>
          <w:rFonts w:ascii="Times New Roman" w:hAnsi="Times New Roman" w:cs="Times New Roman"/>
          <w:color w:val="000000"/>
          <w:sz w:val="24"/>
          <w:szCs w:val="24"/>
        </w:rPr>
        <w:t>u</w:t>
      </w:r>
      <w:r w:rsidR="00BB5F0D" w:rsidRPr="005F3811">
        <w:rPr>
          <w:rFonts w:ascii="Times New Roman" w:hAnsi="Times New Roman" w:cs="Times New Roman"/>
          <w:color w:val="000000"/>
          <w:sz w:val="24"/>
          <w:szCs w:val="24"/>
        </w:rPr>
        <w:t xml:space="preserve">. </w:t>
      </w:r>
    </w:p>
    <w:p w14:paraId="7BE8C508" w14:textId="77777777" w:rsidR="00712421" w:rsidRPr="00A54DA8" w:rsidRDefault="00712421" w:rsidP="00BB5F0D">
      <w:pPr>
        <w:pStyle w:val="Akapitzlist"/>
        <w:spacing w:after="120"/>
        <w:jc w:val="center"/>
        <w:rPr>
          <w:rFonts w:ascii="Times New Roman" w:hAnsi="Times New Roman" w:cs="Times New Roman"/>
          <w:b/>
          <w:sz w:val="24"/>
          <w:szCs w:val="24"/>
        </w:rPr>
      </w:pPr>
    </w:p>
    <w:p w14:paraId="2BDBB87F" w14:textId="77777777" w:rsidR="00BB5F0D" w:rsidRPr="00CD7638" w:rsidRDefault="00BB5F0D" w:rsidP="00BB5F0D">
      <w:pPr>
        <w:pStyle w:val="Akapitzlist"/>
        <w:spacing w:after="120"/>
        <w:jc w:val="center"/>
        <w:rPr>
          <w:rFonts w:ascii="Times New Roman" w:hAnsi="Times New Roman" w:cs="Times New Roman"/>
          <w:b/>
          <w:sz w:val="24"/>
          <w:szCs w:val="24"/>
        </w:rPr>
      </w:pPr>
      <w:r w:rsidRPr="000B308D">
        <w:rPr>
          <w:rFonts w:ascii="Times New Roman" w:hAnsi="Times New Roman" w:cs="Times New Roman"/>
          <w:b/>
          <w:sz w:val="24"/>
          <w:szCs w:val="24"/>
        </w:rPr>
        <w:t>§ 5</w:t>
      </w:r>
      <w:r w:rsidR="00FD7332" w:rsidRPr="000B308D">
        <w:rPr>
          <w:rFonts w:ascii="Times New Roman" w:hAnsi="Times New Roman" w:cs="Times New Roman"/>
          <w:b/>
          <w:sz w:val="24"/>
          <w:szCs w:val="24"/>
        </w:rPr>
        <w:t>.</w:t>
      </w:r>
    </w:p>
    <w:p w14:paraId="2741ABE4" w14:textId="77777777" w:rsidR="00BB5F0D" w:rsidRPr="005D2234" w:rsidRDefault="00BB5F0D" w:rsidP="00BB5F0D">
      <w:pPr>
        <w:pStyle w:val="Akapitzlist"/>
        <w:spacing w:after="120"/>
        <w:jc w:val="center"/>
        <w:rPr>
          <w:rFonts w:ascii="Times New Roman" w:hAnsi="Times New Roman" w:cs="Times New Roman"/>
          <w:b/>
          <w:sz w:val="24"/>
          <w:szCs w:val="24"/>
        </w:rPr>
      </w:pPr>
      <w:r w:rsidRPr="005D2234">
        <w:rPr>
          <w:rFonts w:ascii="Times New Roman" w:hAnsi="Times New Roman" w:cs="Times New Roman"/>
          <w:b/>
          <w:sz w:val="24"/>
          <w:szCs w:val="24"/>
        </w:rPr>
        <w:t xml:space="preserve">Zasady </w:t>
      </w:r>
      <w:r w:rsidR="008C269A" w:rsidRPr="005D2234">
        <w:rPr>
          <w:rFonts w:ascii="Times New Roman" w:hAnsi="Times New Roman" w:cs="Times New Roman"/>
          <w:b/>
          <w:sz w:val="24"/>
          <w:szCs w:val="24"/>
        </w:rPr>
        <w:t>udzielania grantów</w:t>
      </w:r>
    </w:p>
    <w:p w14:paraId="1D6C15CF" w14:textId="05A36729" w:rsidR="008C269A" w:rsidRPr="00F203B0" w:rsidRDefault="008C269A" w:rsidP="00223CAE">
      <w:pPr>
        <w:pStyle w:val="Default"/>
        <w:numPr>
          <w:ilvl w:val="0"/>
          <w:numId w:val="2"/>
        </w:numPr>
        <w:spacing w:before="120" w:after="120" w:line="271" w:lineRule="auto"/>
        <w:ind w:left="426"/>
        <w:jc w:val="both"/>
      </w:pPr>
      <w:r w:rsidRPr="00F203B0">
        <w:t>Granty będą udzielane w formie ryczałtu</w:t>
      </w:r>
      <w:r w:rsidR="0023620C" w:rsidRPr="00F203B0">
        <w:t xml:space="preserve"> wyliczonego w oparciu o Metodologię </w:t>
      </w:r>
      <w:r w:rsidR="0023620C" w:rsidRPr="001A3023">
        <w:t xml:space="preserve">obliczania kosztów uproszczonych, stanowiącą załącznik nr </w:t>
      </w:r>
      <w:r w:rsidR="00D31C6B" w:rsidRPr="001A3023">
        <w:t xml:space="preserve">4 do Regulaminu </w:t>
      </w:r>
      <w:r w:rsidR="00527255" w:rsidRPr="001A3023">
        <w:t>nabor</w:t>
      </w:r>
      <w:r w:rsidR="00D31C6B" w:rsidRPr="001A3023">
        <w:t>u</w:t>
      </w:r>
      <w:r w:rsidRPr="00F203B0">
        <w:t>.</w:t>
      </w:r>
    </w:p>
    <w:p w14:paraId="08C4475E" w14:textId="091FC2F1" w:rsidR="008C269A" w:rsidRPr="001A4BC2" w:rsidRDefault="000C4C3C" w:rsidP="000546BE">
      <w:pPr>
        <w:pStyle w:val="Default"/>
        <w:numPr>
          <w:ilvl w:val="0"/>
          <w:numId w:val="2"/>
        </w:numPr>
        <w:spacing w:before="120" w:after="120" w:line="271" w:lineRule="auto"/>
        <w:ind w:left="426"/>
        <w:jc w:val="both"/>
        <w:rPr>
          <w:color w:val="auto"/>
        </w:rPr>
      </w:pPr>
      <w:r>
        <w:t>W ramach grantu grantobiorca</w:t>
      </w:r>
      <w:r w:rsidR="008C269A" w:rsidRPr="00F203B0">
        <w:t xml:space="preserve"> może zrealizować </w:t>
      </w:r>
      <w:r>
        <w:t>d</w:t>
      </w:r>
      <w:r w:rsidRPr="00F203B0">
        <w:t>ziałania</w:t>
      </w:r>
      <w:r w:rsidR="008C269A" w:rsidRPr="00F203B0">
        <w:t xml:space="preserve"> w celu zweryfikowania wykonalności pomysłu</w:t>
      </w:r>
      <w:r w:rsidR="006404E0" w:rsidRPr="00F203B0">
        <w:t xml:space="preserve"> (przygotowania studium wykonalności)</w:t>
      </w:r>
      <w:r>
        <w:t>, które</w:t>
      </w:r>
      <w:r w:rsidR="008C269A" w:rsidRPr="00F203B0">
        <w:t xml:space="preserve"> mogą</w:t>
      </w:r>
      <w:r w:rsidR="008C269A" w:rsidRPr="00CC7265">
        <w:t xml:space="preserve"> obejmować np. szacowanie ryzyka, badanie rynku, badanie użytkowników, zarządzanie własnością intelektualną, opracowanie strategii innowacji, poszukiwanie partnerów. Działania te mają na celu przygotowanie podstaw projektu innowacyjnego, spójnego ze strategią </w:t>
      </w:r>
      <w:r w:rsidR="00FD7332">
        <w:t>wnioskodawcy</w:t>
      </w:r>
      <w:r w:rsidR="00FD7332" w:rsidRPr="00CC7265">
        <w:t xml:space="preserve"> </w:t>
      </w:r>
      <w:r w:rsidR="008C269A" w:rsidRPr="00CC7265">
        <w:t xml:space="preserve">i posiadającego </w:t>
      </w:r>
      <w:r w:rsidR="00632186">
        <w:t xml:space="preserve">co najmniej </w:t>
      </w:r>
      <w:r w:rsidR="008C269A" w:rsidRPr="00CC7265">
        <w:t xml:space="preserve">wymiar europejski, w tym zidentyfikowanie i przeanalizowanie „wąskich gardeł” na drodze </w:t>
      </w:r>
      <w:r w:rsidR="008C269A" w:rsidRPr="00632186">
        <w:t xml:space="preserve">do zwiększenia rentowności </w:t>
      </w:r>
      <w:r w:rsidR="00C8530E">
        <w:t>wnioskodawcy</w:t>
      </w:r>
      <w:r w:rsidR="00C8530E" w:rsidRPr="00632186">
        <w:t xml:space="preserve"> </w:t>
      </w:r>
      <w:r w:rsidR="008C269A" w:rsidRPr="00632186">
        <w:t>poprzez</w:t>
      </w:r>
      <w:r w:rsidR="00632186">
        <w:t xml:space="preserve"> m.in. realizację </w:t>
      </w:r>
      <w:r w:rsidR="00A54A45">
        <w:t>projektu</w:t>
      </w:r>
      <w:r w:rsidR="00A54A45" w:rsidRPr="00632186">
        <w:t xml:space="preserve"> </w:t>
      </w:r>
      <w:r w:rsidR="008C269A" w:rsidRPr="00632186">
        <w:t>innowac</w:t>
      </w:r>
      <w:r w:rsidR="00632186">
        <w:t>yjnego</w:t>
      </w:r>
      <w:r w:rsidR="004204E9">
        <w:t>.</w:t>
      </w:r>
      <w:r w:rsidR="008C269A" w:rsidRPr="00632186">
        <w:t xml:space="preserve"> </w:t>
      </w:r>
    </w:p>
    <w:p w14:paraId="6CF2906D" w14:textId="6FA3C800" w:rsidR="008C269A" w:rsidRPr="00CC7265" w:rsidRDefault="008C269A" w:rsidP="00223CAE">
      <w:pPr>
        <w:pStyle w:val="Default"/>
        <w:numPr>
          <w:ilvl w:val="0"/>
          <w:numId w:val="2"/>
        </w:numPr>
        <w:spacing w:before="120" w:after="120" w:line="271" w:lineRule="auto"/>
        <w:ind w:left="426"/>
        <w:jc w:val="both"/>
        <w:rPr>
          <w:color w:val="auto"/>
        </w:rPr>
      </w:pPr>
      <w:r w:rsidRPr="00CC7265">
        <w:t>Produktem, który powstanie w wyniku realizacji zaplanowanych działań, będzie studium wykonalności</w:t>
      </w:r>
      <w:r w:rsidR="00FB1E13" w:rsidRPr="00CC7265">
        <w:t xml:space="preserve">, </w:t>
      </w:r>
      <w:r w:rsidR="007F049C">
        <w:t xml:space="preserve"> </w:t>
      </w:r>
      <w:r w:rsidRPr="00CC7265">
        <w:t xml:space="preserve">zawierające strategiczny biznes plan, który będzie wyznaczał kolejne kroki (techniczne, organizacyjne, finansowe, prawne) </w:t>
      </w:r>
      <w:r w:rsidR="00632186">
        <w:t>prowadzące</w:t>
      </w:r>
      <w:r w:rsidR="00632186" w:rsidRPr="00CC7265">
        <w:t xml:space="preserve"> do</w:t>
      </w:r>
      <w:r w:rsidRPr="00CC7265">
        <w:t xml:space="preserve"> wdrożenia projektu innowacyjnego. Studium </w:t>
      </w:r>
      <w:r w:rsidRPr="007E1D08">
        <w:t xml:space="preserve">wykonalności zostanie </w:t>
      </w:r>
      <w:r w:rsidR="005425CC" w:rsidRPr="007E1D08">
        <w:t>opracowane</w:t>
      </w:r>
      <w:r w:rsidR="005425CC" w:rsidRPr="005425CC">
        <w:t xml:space="preserve"> </w:t>
      </w:r>
      <w:r w:rsidRPr="005425CC">
        <w:t xml:space="preserve">przez </w:t>
      </w:r>
      <w:r w:rsidR="00B93F7C" w:rsidRPr="005425CC">
        <w:t xml:space="preserve">grantobiorcę </w:t>
      </w:r>
      <w:r w:rsidRPr="005425CC">
        <w:t>dla celów weryfikacji założeń</w:t>
      </w:r>
      <w:r w:rsidRPr="00CC7265">
        <w:t xml:space="preserve"> oraz przygotowania projektu do jego</w:t>
      </w:r>
      <w:r w:rsidR="006A00FC">
        <w:t xml:space="preserve"> ewentualnej</w:t>
      </w:r>
      <w:r w:rsidRPr="00CC7265">
        <w:t xml:space="preserve"> dalszej realizacji, w tym do pozyskania finansowania proponowanej innowacji (np. aplikowanie o wsparcie publiczne</w:t>
      </w:r>
      <w:r w:rsidR="00687ABE">
        <w:t>,</w:t>
      </w:r>
      <w:r w:rsidRPr="00CC7265">
        <w:t xml:space="preserve"> w tym do </w:t>
      </w:r>
      <w:r w:rsidR="006658F1">
        <w:rPr>
          <w:color w:val="auto"/>
        </w:rPr>
        <w:t>Fazy 2. Instrumentu MSP w ramach programu Horyzont 2020</w:t>
      </w:r>
      <w:r w:rsidRPr="00CC7265">
        <w:t>, poszukiwanie inwestorów, ubieganie się o kredyt</w:t>
      </w:r>
      <w:r w:rsidR="00687ABE">
        <w:t>,</w:t>
      </w:r>
      <w:r w:rsidRPr="00CC7265">
        <w:t xml:space="preserve"> itd.).</w:t>
      </w:r>
    </w:p>
    <w:p w14:paraId="309B970A" w14:textId="24F44D09" w:rsidR="00B832CD" w:rsidRPr="00E93BBD" w:rsidRDefault="008C269A" w:rsidP="00223CAE">
      <w:pPr>
        <w:pStyle w:val="Default"/>
        <w:numPr>
          <w:ilvl w:val="0"/>
          <w:numId w:val="2"/>
        </w:numPr>
        <w:spacing w:before="120" w:after="120" w:line="271" w:lineRule="auto"/>
        <w:ind w:left="426"/>
        <w:jc w:val="both"/>
        <w:rPr>
          <w:color w:val="auto"/>
        </w:rPr>
      </w:pPr>
      <w:r w:rsidRPr="00CC7265">
        <w:rPr>
          <w:color w:val="auto"/>
        </w:rPr>
        <w:t xml:space="preserve">Grant </w:t>
      </w:r>
      <w:r w:rsidR="00B832CD">
        <w:rPr>
          <w:color w:val="auto"/>
        </w:rPr>
        <w:t>może by</w:t>
      </w:r>
      <w:r w:rsidR="00E93BBD">
        <w:rPr>
          <w:color w:val="auto"/>
        </w:rPr>
        <w:t>ć</w:t>
      </w:r>
      <w:r w:rsidR="00B832CD" w:rsidRPr="00CC7265">
        <w:rPr>
          <w:color w:val="auto"/>
        </w:rPr>
        <w:t xml:space="preserve"> </w:t>
      </w:r>
      <w:r w:rsidRPr="00CC7265">
        <w:rPr>
          <w:color w:val="auto"/>
        </w:rPr>
        <w:t>powierz</w:t>
      </w:r>
      <w:r w:rsidR="00B832CD">
        <w:rPr>
          <w:color w:val="auto"/>
        </w:rPr>
        <w:t>ony</w:t>
      </w:r>
      <w:r w:rsidRPr="00CC7265">
        <w:rPr>
          <w:color w:val="auto"/>
        </w:rPr>
        <w:t xml:space="preserve"> na </w:t>
      </w:r>
      <w:r w:rsidR="005425CC">
        <w:rPr>
          <w:color w:val="auto"/>
        </w:rPr>
        <w:t xml:space="preserve">realizację </w:t>
      </w:r>
      <w:r w:rsidR="00B832CD" w:rsidRPr="00E93BBD">
        <w:rPr>
          <w:color w:val="auto"/>
        </w:rPr>
        <w:t>projekt</w:t>
      </w:r>
      <w:r w:rsidR="005425CC">
        <w:rPr>
          <w:color w:val="auto"/>
        </w:rPr>
        <w:t>u</w:t>
      </w:r>
      <w:r w:rsidR="00B832CD" w:rsidRPr="00E93BBD">
        <w:rPr>
          <w:color w:val="auto"/>
        </w:rPr>
        <w:t xml:space="preserve">, który nie został rozpoczęty przed dniem ani w dniu złożenia wniosku </w:t>
      </w:r>
      <w:r w:rsidR="00D31C6B">
        <w:rPr>
          <w:color w:val="auto"/>
        </w:rPr>
        <w:t>o powierzenie grantu</w:t>
      </w:r>
      <w:r w:rsidR="00B832CD" w:rsidRPr="00E93BBD">
        <w:rPr>
          <w:color w:val="auto"/>
        </w:rPr>
        <w:t xml:space="preserve"> i skończy się w </w:t>
      </w:r>
      <w:r w:rsidR="00B93F7C">
        <w:rPr>
          <w:color w:val="auto"/>
        </w:rPr>
        <w:t>terminie</w:t>
      </w:r>
      <w:r w:rsidR="00B93F7C" w:rsidRPr="00E93BBD">
        <w:rPr>
          <w:color w:val="auto"/>
        </w:rPr>
        <w:t xml:space="preserve"> </w:t>
      </w:r>
      <w:r w:rsidR="00B832CD" w:rsidRPr="00E93BBD">
        <w:rPr>
          <w:color w:val="auto"/>
        </w:rPr>
        <w:t>6 miesięcy od dnia rozpoczęcia realizacji projektu.</w:t>
      </w:r>
      <w:r w:rsidR="005432D7" w:rsidRPr="005432D7">
        <w:rPr>
          <w:rFonts w:eastAsia="Times New Roman"/>
          <w:lang w:eastAsia="pl-PL"/>
        </w:rPr>
        <w:t xml:space="preserve"> </w:t>
      </w:r>
      <w:r w:rsidR="005432D7">
        <w:rPr>
          <w:rFonts w:eastAsia="Times New Roman"/>
          <w:lang w:eastAsia="pl-PL"/>
        </w:rPr>
        <w:t xml:space="preserve">W przypadku rozpoczęcia realizacji </w:t>
      </w:r>
      <w:r w:rsidR="005432D7">
        <w:rPr>
          <w:rFonts w:eastAsia="Times New Roman"/>
          <w:lang w:eastAsia="pl-PL"/>
        </w:rPr>
        <w:lastRenderedPageBreak/>
        <w:t>projektu przed dniem wejścia w życie umowy o powierzenie grantu, wnioskodawca realizuje projekt na własne ryzyko.</w:t>
      </w:r>
    </w:p>
    <w:p w14:paraId="5BFE34C5" w14:textId="68B9397A" w:rsidR="008C269A" w:rsidRPr="00B832CD" w:rsidRDefault="008C269A" w:rsidP="00223CAE">
      <w:pPr>
        <w:pStyle w:val="Default"/>
        <w:numPr>
          <w:ilvl w:val="0"/>
          <w:numId w:val="2"/>
        </w:numPr>
        <w:spacing w:before="120" w:after="120" w:line="271" w:lineRule="auto"/>
        <w:ind w:left="426"/>
        <w:jc w:val="both"/>
        <w:rPr>
          <w:color w:val="auto"/>
          <w:lang w:eastAsia="pl-PL"/>
        </w:rPr>
      </w:pPr>
      <w:r w:rsidRPr="00B832CD">
        <w:rPr>
          <w:color w:val="auto"/>
        </w:rPr>
        <w:t>Maksymalna kwota grantu przyznawana p</w:t>
      </w:r>
      <w:r w:rsidRPr="00B832CD">
        <w:rPr>
          <w:color w:val="auto"/>
          <w:lang w:eastAsia="pl-PL"/>
        </w:rPr>
        <w:t xml:space="preserve">rzedsiębiorcy na jedno studium wykonalności wynosi: </w:t>
      </w:r>
    </w:p>
    <w:p w14:paraId="423B571D" w14:textId="12E183C0" w:rsidR="008C269A" w:rsidRPr="00B832CD" w:rsidRDefault="00E0775A" w:rsidP="00223CAE">
      <w:pPr>
        <w:pStyle w:val="Default"/>
        <w:numPr>
          <w:ilvl w:val="0"/>
          <w:numId w:val="8"/>
        </w:numPr>
        <w:spacing w:before="120" w:after="120" w:line="271" w:lineRule="auto"/>
        <w:jc w:val="both"/>
      </w:pPr>
      <w:r>
        <w:rPr>
          <w:lang w:eastAsia="pl-PL"/>
        </w:rPr>
        <w:t>210 000,00</w:t>
      </w:r>
      <w:r w:rsidR="008C269A" w:rsidRPr="00B832CD">
        <w:rPr>
          <w:lang w:eastAsia="pl-PL"/>
        </w:rPr>
        <w:t xml:space="preserve"> zł dla mikroprzedsiębiorców, małych i średnich przedsiębiorców (70% kwoty oszacowanej w</w:t>
      </w:r>
      <w:r w:rsidR="00D87D75">
        <w:rPr>
          <w:lang w:eastAsia="pl-PL"/>
        </w:rPr>
        <w:t xml:space="preserve"> </w:t>
      </w:r>
      <w:r w:rsidR="00D87D75">
        <w:rPr>
          <w:rFonts w:cstheme="minorHAnsi"/>
        </w:rPr>
        <w:t>Metodologii</w:t>
      </w:r>
      <w:r w:rsidR="00D87D75" w:rsidRPr="0023620C">
        <w:rPr>
          <w:rFonts w:cstheme="minorHAnsi"/>
        </w:rPr>
        <w:t xml:space="preserve"> obliczania kosztów uproszczonych</w:t>
      </w:r>
      <w:r w:rsidR="00D87D75">
        <w:rPr>
          <w:rFonts w:cstheme="minorHAnsi"/>
        </w:rPr>
        <w:t>, stanowiącej załącznik nr 4 do Regulaminu naboru,</w:t>
      </w:r>
      <w:r w:rsidR="008C269A" w:rsidRPr="00B832CD">
        <w:rPr>
          <w:color w:val="auto"/>
        </w:rPr>
        <w:t xml:space="preserve"> na podstawie metodologii opisanej w </w:t>
      </w:r>
      <w:r w:rsidR="00C8530E">
        <w:rPr>
          <w:rFonts w:cstheme="minorHAnsi"/>
        </w:rPr>
        <w:t>decyzji Komisji Europejskiej z dnia 10 grudnia 2013 r. zatwierdzającej refundację na bazie kwot ryczałtowych w ramach I fazy Instrumentu dla mikro-, małych i średnich przedsiębiorców realizowanego w ramach programu Horyzont 2020 (C(2013)8198</w:t>
      </w:r>
      <w:r w:rsidR="008C269A" w:rsidRPr="00B832CD">
        <w:t xml:space="preserve">) – w przypadku wyboru przez przedsiębiorcę pomocy </w:t>
      </w:r>
      <w:r w:rsidR="009D5594" w:rsidRPr="00B832CD">
        <w:rPr>
          <w:i/>
        </w:rPr>
        <w:t>de minimis</w:t>
      </w:r>
      <w:r w:rsidR="008C269A" w:rsidRPr="00B832CD">
        <w:t>;</w:t>
      </w:r>
    </w:p>
    <w:p w14:paraId="7989BC70" w14:textId="757D30DB" w:rsidR="008C269A" w:rsidRPr="007152DD" w:rsidRDefault="00E0775A" w:rsidP="00223CAE">
      <w:pPr>
        <w:pStyle w:val="Default"/>
        <w:numPr>
          <w:ilvl w:val="0"/>
          <w:numId w:val="8"/>
        </w:numPr>
        <w:spacing w:before="120" w:after="120" w:line="271" w:lineRule="auto"/>
        <w:jc w:val="both"/>
      </w:pPr>
      <w:r>
        <w:t>210 000,</w:t>
      </w:r>
      <w:r w:rsidR="008613CC">
        <w:t>00</w:t>
      </w:r>
      <w:r w:rsidR="008C269A" w:rsidRPr="007152DD">
        <w:t xml:space="preserve"> zł dla mikroprzedsiębiorców i małych przedsiębiorców (70% kwoty oszacowanej w </w:t>
      </w:r>
      <w:r w:rsidR="00D87D75">
        <w:rPr>
          <w:rFonts w:cstheme="minorHAnsi"/>
        </w:rPr>
        <w:t>Metodologii</w:t>
      </w:r>
      <w:r w:rsidR="00D87D75" w:rsidRPr="0023620C">
        <w:rPr>
          <w:rFonts w:cstheme="minorHAnsi"/>
        </w:rPr>
        <w:t xml:space="preserve"> obliczania kosztów uproszczonych</w:t>
      </w:r>
      <w:r w:rsidR="00D87D75">
        <w:rPr>
          <w:rFonts w:cstheme="minorHAnsi"/>
        </w:rPr>
        <w:t>, stanowiącej załącznik nr 4 do Regulaminu naboru,</w:t>
      </w:r>
      <w:r w:rsidR="00B220E9">
        <w:rPr>
          <w:rFonts w:cstheme="minorHAnsi"/>
        </w:rPr>
        <w:t xml:space="preserve"> </w:t>
      </w:r>
      <w:r w:rsidR="008C269A" w:rsidRPr="007152DD">
        <w:t xml:space="preserve">na podstawie metodologii opisanej w </w:t>
      </w:r>
      <w:r w:rsidR="00C8530E">
        <w:rPr>
          <w:rFonts w:cstheme="minorHAnsi"/>
        </w:rPr>
        <w:t>decyzji Komisji Europejskiej z dnia 10 grudnia 2013 r. zatwierdzającej refundację na bazie kwot ryczałtowych w ramach I fazy Instrumentu dla mikro-, małych i średnich przedsiębiorców realizowanego w ramach programu Horyzont 2020 (C(2013)8198)</w:t>
      </w:r>
      <w:r w:rsidR="008C269A" w:rsidRPr="007152DD">
        <w:t xml:space="preserve">) – w przypadku wyboru przez przedsiębiorcę pomocy </w:t>
      </w:r>
      <w:r w:rsidR="009D5594" w:rsidRPr="007152DD">
        <w:t>publicznej</w:t>
      </w:r>
      <w:r w:rsidR="00632186">
        <w:t>;</w:t>
      </w:r>
    </w:p>
    <w:p w14:paraId="340F0AC7" w14:textId="56399433" w:rsidR="008C269A" w:rsidRPr="007152DD" w:rsidRDefault="00E0775A" w:rsidP="00223CAE">
      <w:pPr>
        <w:pStyle w:val="Default"/>
        <w:numPr>
          <w:ilvl w:val="0"/>
          <w:numId w:val="8"/>
        </w:numPr>
        <w:spacing w:before="120" w:after="120" w:line="271" w:lineRule="auto"/>
        <w:jc w:val="both"/>
      </w:pPr>
      <w:r>
        <w:t>180 000,00</w:t>
      </w:r>
      <w:r w:rsidR="008C269A" w:rsidRPr="007152DD">
        <w:t xml:space="preserve"> zł dla średnich przedsiębiorców (60% kwoty oszacowanej w </w:t>
      </w:r>
      <w:r w:rsidR="00D87D75">
        <w:rPr>
          <w:rFonts w:cstheme="minorHAnsi"/>
        </w:rPr>
        <w:t>Metodologii</w:t>
      </w:r>
      <w:r w:rsidR="00D87D75" w:rsidRPr="0023620C">
        <w:rPr>
          <w:rFonts w:cstheme="minorHAnsi"/>
        </w:rPr>
        <w:t xml:space="preserve"> obliczania kosztów uproszczonych</w:t>
      </w:r>
      <w:r w:rsidR="00D87D75">
        <w:rPr>
          <w:rFonts w:cstheme="minorHAnsi"/>
        </w:rPr>
        <w:t>, stanowiącej załącznik nr 4 do Regulaminu naboru,</w:t>
      </w:r>
      <w:r w:rsidR="00257A01">
        <w:rPr>
          <w:rFonts w:cstheme="minorHAnsi"/>
        </w:rPr>
        <w:t xml:space="preserve"> </w:t>
      </w:r>
      <w:r w:rsidR="008C269A" w:rsidRPr="007152DD">
        <w:t xml:space="preserve">na podstawie metodologii opisanej w </w:t>
      </w:r>
      <w:r w:rsidR="00C8530E">
        <w:rPr>
          <w:rFonts w:cstheme="minorHAnsi"/>
        </w:rPr>
        <w:t>decyzji Komisji Europejskiej z dnia 10 grudnia 2013 r. zatwierdzającej refundację na bazie kwot ryczałtowych w ramach I fazy Instrumentu dla mikro-, małych i średnich przedsiębiorców realizowanego w ramach programu Horyzont 2020 (C(2013)8198)</w:t>
      </w:r>
      <w:r w:rsidR="008C269A" w:rsidRPr="007152DD">
        <w:t xml:space="preserve">) – w przypadku wyboru przez przedsiębiorcę pomocy </w:t>
      </w:r>
      <w:r w:rsidR="009D5594" w:rsidRPr="007152DD">
        <w:t>publicznej</w:t>
      </w:r>
      <w:r w:rsidR="008C269A" w:rsidRPr="007152DD">
        <w:t>.</w:t>
      </w:r>
    </w:p>
    <w:p w14:paraId="401D31F6" w14:textId="6D4AB77B" w:rsidR="00D31C6B" w:rsidRDefault="00D31C6B" w:rsidP="00223CAE">
      <w:pPr>
        <w:pStyle w:val="Default"/>
        <w:numPr>
          <w:ilvl w:val="0"/>
          <w:numId w:val="2"/>
        </w:numPr>
        <w:spacing w:before="120" w:after="120" w:line="271" w:lineRule="auto"/>
        <w:ind w:left="426"/>
        <w:jc w:val="both"/>
        <w:rPr>
          <w:color w:val="auto"/>
        </w:rPr>
      </w:pPr>
      <w:r w:rsidRPr="007152DD">
        <w:t>W ramach umowy o powierzenie grantu przewiduje się możliwość uzyskania zaliczki w wysokości do 40% wartości grantu.</w:t>
      </w:r>
      <w:r w:rsidR="004871E7">
        <w:t xml:space="preserve"> Zaliczka jest przyznawana na </w:t>
      </w:r>
      <w:r w:rsidR="000B40D6">
        <w:t xml:space="preserve">zasadach określonych w </w:t>
      </w:r>
      <w:r w:rsidR="004871E7">
        <w:t>umow</w:t>
      </w:r>
      <w:r w:rsidR="000B40D6">
        <w:t>ie</w:t>
      </w:r>
      <w:r w:rsidR="004871E7">
        <w:t xml:space="preserve"> o powierzenie grantu.</w:t>
      </w:r>
    </w:p>
    <w:p w14:paraId="3B1270A7" w14:textId="77777777" w:rsidR="00062673" w:rsidRPr="007152DD" w:rsidRDefault="00062673" w:rsidP="00223CAE">
      <w:pPr>
        <w:pStyle w:val="Default"/>
        <w:numPr>
          <w:ilvl w:val="0"/>
          <w:numId w:val="2"/>
        </w:numPr>
        <w:spacing w:before="120" w:after="120" w:line="271" w:lineRule="auto"/>
        <w:ind w:left="426"/>
        <w:jc w:val="both"/>
        <w:rPr>
          <w:color w:val="auto"/>
        </w:rPr>
      </w:pPr>
      <w:r w:rsidRPr="007152DD">
        <w:rPr>
          <w:color w:val="auto"/>
        </w:rPr>
        <w:t>Jeden przedsiębiorca może uzyskać więcej niż jed</w:t>
      </w:r>
      <w:r w:rsidR="006F2438" w:rsidRPr="007152DD">
        <w:rPr>
          <w:color w:val="auto"/>
        </w:rPr>
        <w:t>e</w:t>
      </w:r>
      <w:r w:rsidRPr="007152DD">
        <w:rPr>
          <w:color w:val="auto"/>
        </w:rPr>
        <w:t xml:space="preserve">n </w:t>
      </w:r>
      <w:r w:rsidR="006F2438" w:rsidRPr="007152DD">
        <w:rPr>
          <w:color w:val="auto"/>
        </w:rPr>
        <w:t>grant</w:t>
      </w:r>
      <w:r w:rsidRPr="007152DD">
        <w:rPr>
          <w:color w:val="auto"/>
        </w:rPr>
        <w:t xml:space="preserve"> na przygotowanie studium wykonalności, o ile studia </w:t>
      </w:r>
      <w:r w:rsidR="00761455" w:rsidRPr="007152DD">
        <w:rPr>
          <w:color w:val="auto"/>
        </w:rPr>
        <w:t xml:space="preserve">wykonalności </w:t>
      </w:r>
      <w:r w:rsidRPr="007152DD">
        <w:rPr>
          <w:color w:val="auto"/>
        </w:rPr>
        <w:t xml:space="preserve">będą dotyczyć </w:t>
      </w:r>
      <w:r w:rsidR="002B1FBD" w:rsidRPr="007152DD">
        <w:rPr>
          <w:color w:val="auto"/>
        </w:rPr>
        <w:t>różnych projektów, które otrzymały Seal of Excellence</w:t>
      </w:r>
      <w:r w:rsidRPr="007152DD">
        <w:rPr>
          <w:color w:val="auto"/>
        </w:rPr>
        <w:t xml:space="preserve">. </w:t>
      </w:r>
    </w:p>
    <w:p w14:paraId="4D7878AE" w14:textId="77777777" w:rsidR="00B47007" w:rsidRPr="00CC7265" w:rsidRDefault="00B47007" w:rsidP="000E2991">
      <w:pPr>
        <w:pStyle w:val="Default"/>
        <w:spacing w:before="120" w:after="120" w:line="271" w:lineRule="auto"/>
        <w:jc w:val="both"/>
        <w:rPr>
          <w:color w:val="auto"/>
        </w:rPr>
      </w:pPr>
    </w:p>
    <w:p w14:paraId="21BA8607" w14:textId="77777777" w:rsidR="00B47007" w:rsidRPr="00CC7265" w:rsidRDefault="00B47007" w:rsidP="000E2991">
      <w:pPr>
        <w:pStyle w:val="Default"/>
        <w:spacing w:before="120" w:after="120" w:line="271" w:lineRule="auto"/>
        <w:jc w:val="center"/>
        <w:rPr>
          <w:color w:val="auto"/>
        </w:rPr>
      </w:pPr>
      <w:r w:rsidRPr="00CC7265">
        <w:rPr>
          <w:b/>
          <w:bCs/>
          <w:color w:val="auto"/>
        </w:rPr>
        <w:t>§ 6.</w:t>
      </w:r>
    </w:p>
    <w:p w14:paraId="0BB473B7" w14:textId="77777777" w:rsidR="00B47007" w:rsidRPr="00CC7265" w:rsidRDefault="00236F3C" w:rsidP="000E2991">
      <w:pPr>
        <w:pStyle w:val="Default"/>
        <w:spacing w:before="120" w:after="120" w:line="271" w:lineRule="auto"/>
        <w:jc w:val="center"/>
        <w:rPr>
          <w:color w:val="auto"/>
        </w:rPr>
      </w:pPr>
      <w:r w:rsidRPr="00CC7265">
        <w:rPr>
          <w:b/>
          <w:bCs/>
          <w:color w:val="auto"/>
        </w:rPr>
        <w:t xml:space="preserve">Zasady składania wniosków </w:t>
      </w:r>
      <w:r w:rsidR="00D31C6B">
        <w:rPr>
          <w:b/>
          <w:bCs/>
          <w:color w:val="auto"/>
        </w:rPr>
        <w:t>o powierzenie grantu</w:t>
      </w:r>
    </w:p>
    <w:p w14:paraId="24C7FDA9" w14:textId="534BE90B" w:rsidR="002B1FBD" w:rsidRPr="00C86384" w:rsidRDefault="004C4244" w:rsidP="00223CAE">
      <w:pPr>
        <w:pStyle w:val="Default"/>
        <w:numPr>
          <w:ilvl w:val="0"/>
          <w:numId w:val="4"/>
        </w:numPr>
        <w:spacing w:before="120" w:after="120" w:line="271" w:lineRule="auto"/>
        <w:ind w:left="426" w:hanging="426"/>
        <w:jc w:val="both"/>
        <w:rPr>
          <w:color w:val="auto"/>
        </w:rPr>
      </w:pPr>
      <w:r w:rsidRPr="00CC7265">
        <w:t>Wniosek</w:t>
      </w:r>
      <w:r w:rsidR="006F2438" w:rsidRPr="00CC7265">
        <w:t xml:space="preserve"> </w:t>
      </w:r>
      <w:r w:rsidR="0065130F">
        <w:t>o powierzenie grantu</w:t>
      </w:r>
      <w:r w:rsidRPr="00CC7265">
        <w:t xml:space="preserve"> należy złożyć wyłącznie w wersji elektronicznej za pośrednictwem </w:t>
      </w:r>
      <w:r w:rsidR="004145CB">
        <w:t>GW</w:t>
      </w:r>
      <w:r w:rsidRPr="00CC7265">
        <w:t xml:space="preserve">, udostępnionego na stronie internetowej </w:t>
      </w:r>
      <w:r w:rsidR="00666DE0">
        <w:t>PARP</w:t>
      </w:r>
      <w:r w:rsidRPr="00CC7265">
        <w:t xml:space="preserve">. Wszelkie inne formy elektroniczne lub papierowe wizualizacji treści wniosku nie stanowią wniosku o </w:t>
      </w:r>
      <w:r w:rsidR="00D0140D">
        <w:t>powierzenie grantu</w:t>
      </w:r>
      <w:r w:rsidR="00D0140D" w:rsidRPr="00CC7265">
        <w:t xml:space="preserve"> </w:t>
      </w:r>
      <w:r w:rsidRPr="00CC7265">
        <w:t>i nie będą podlegać ocenie.</w:t>
      </w:r>
      <w:r w:rsidR="00895229" w:rsidRPr="00CC7265">
        <w:t xml:space="preserve"> </w:t>
      </w:r>
    </w:p>
    <w:p w14:paraId="275B0F7E" w14:textId="13040796" w:rsidR="00C86384" w:rsidRDefault="005425CC" w:rsidP="00223CAE">
      <w:pPr>
        <w:pStyle w:val="Default"/>
        <w:numPr>
          <w:ilvl w:val="0"/>
          <w:numId w:val="4"/>
        </w:numPr>
        <w:spacing w:before="120" w:after="120" w:line="271" w:lineRule="auto"/>
        <w:ind w:left="426" w:hanging="426"/>
        <w:jc w:val="both"/>
      </w:pPr>
      <w:r w:rsidRPr="00035AAE">
        <w:t xml:space="preserve">Integralną cześć wniosku </w:t>
      </w:r>
      <w:r w:rsidR="000C683A">
        <w:t>o powierzenie grantu</w:t>
      </w:r>
      <w:r w:rsidR="000C683A" w:rsidRPr="00CC7265">
        <w:t xml:space="preserve"> </w:t>
      </w:r>
      <w:r w:rsidRPr="00035AAE">
        <w:t>stanowią załączniki</w:t>
      </w:r>
      <w:r w:rsidR="00C86384">
        <w:t xml:space="preserve">: </w:t>
      </w:r>
    </w:p>
    <w:p w14:paraId="6B6E191B" w14:textId="666DE011" w:rsidR="00C86384" w:rsidRPr="00C86384" w:rsidRDefault="00C86384" w:rsidP="00223CAE">
      <w:pPr>
        <w:pStyle w:val="Default"/>
        <w:numPr>
          <w:ilvl w:val="0"/>
          <w:numId w:val="20"/>
        </w:numPr>
        <w:spacing w:before="120" w:after="120" w:line="271" w:lineRule="auto"/>
        <w:jc w:val="both"/>
      </w:pPr>
      <w:r w:rsidRPr="00C86384">
        <w:lastRenderedPageBreak/>
        <w:t>wniosek do SMEI F1 H2020 zawierający datę jego złożenia w konkursie SMEI F1 H2020</w:t>
      </w:r>
      <w:r w:rsidR="000C683A">
        <w:t>;</w:t>
      </w:r>
    </w:p>
    <w:p w14:paraId="79C613D2" w14:textId="2039EC15" w:rsidR="00C86384" w:rsidRPr="00F43246" w:rsidRDefault="00C86384" w:rsidP="00223CAE">
      <w:pPr>
        <w:pStyle w:val="Default"/>
        <w:numPr>
          <w:ilvl w:val="0"/>
          <w:numId w:val="20"/>
        </w:numPr>
        <w:spacing w:before="120" w:after="120" w:line="271" w:lineRule="auto"/>
        <w:jc w:val="both"/>
        <w:rPr>
          <w:lang w:val="en-US"/>
        </w:rPr>
      </w:pPr>
      <w:r w:rsidRPr="00F43246">
        <w:rPr>
          <w:lang w:val="en-US"/>
        </w:rPr>
        <w:t>certyfikat Seal of Excellence dla wniosku S</w:t>
      </w:r>
      <w:r w:rsidR="005425CC">
        <w:rPr>
          <w:lang w:val="en-US"/>
        </w:rPr>
        <w:tab/>
      </w:r>
      <w:r w:rsidRPr="00F43246">
        <w:rPr>
          <w:lang w:val="en-US"/>
        </w:rPr>
        <w:t>MEI F1 H2020</w:t>
      </w:r>
      <w:r w:rsidR="000C683A">
        <w:rPr>
          <w:lang w:val="en-US"/>
        </w:rPr>
        <w:t>;</w:t>
      </w:r>
    </w:p>
    <w:p w14:paraId="3EF35899" w14:textId="77777777" w:rsidR="00C86384" w:rsidRPr="00C86384" w:rsidRDefault="00C86384" w:rsidP="00223CAE">
      <w:pPr>
        <w:pStyle w:val="Default"/>
        <w:numPr>
          <w:ilvl w:val="0"/>
          <w:numId w:val="20"/>
        </w:numPr>
        <w:spacing w:before="120" w:after="120" w:line="271" w:lineRule="auto"/>
        <w:jc w:val="both"/>
      </w:pPr>
      <w:r w:rsidRPr="00C86384">
        <w:t>raport z oceny wniosku składanego do SMEI F1 H2020 (Evaluation Summary Report – ESR).</w:t>
      </w:r>
    </w:p>
    <w:p w14:paraId="189AC26C" w14:textId="77D5F369" w:rsidR="00ED382B" w:rsidRPr="00CC7265" w:rsidRDefault="00ED382B" w:rsidP="00223CAE">
      <w:pPr>
        <w:pStyle w:val="Default"/>
        <w:numPr>
          <w:ilvl w:val="0"/>
          <w:numId w:val="4"/>
        </w:numPr>
        <w:spacing w:before="120" w:after="120" w:line="271" w:lineRule="auto"/>
        <w:ind w:left="426" w:hanging="426"/>
        <w:jc w:val="both"/>
        <w:rPr>
          <w:color w:val="auto"/>
        </w:rPr>
      </w:pPr>
      <w:r>
        <w:t xml:space="preserve">Wniosek </w:t>
      </w:r>
      <w:r w:rsidR="00636261" w:rsidRPr="00CC7265">
        <w:t xml:space="preserve">o </w:t>
      </w:r>
      <w:r w:rsidR="00636261">
        <w:t>powierzenie grantu</w:t>
      </w:r>
      <w:r w:rsidR="00636261" w:rsidRPr="00CC7265">
        <w:t xml:space="preserve"> </w:t>
      </w:r>
      <w:r>
        <w:t>powinien zostać wypełniony zgodnie z Instrukcj</w:t>
      </w:r>
      <w:r w:rsidR="00187010">
        <w:t>ą</w:t>
      </w:r>
      <w:r>
        <w:t xml:space="preserve"> wypełniania wniosku</w:t>
      </w:r>
      <w:r w:rsidR="00187010" w:rsidRPr="00187010">
        <w:t xml:space="preserve"> </w:t>
      </w:r>
      <w:r w:rsidR="00187010" w:rsidRPr="00CC7265">
        <w:t xml:space="preserve">o </w:t>
      </w:r>
      <w:r w:rsidR="00187010">
        <w:t>powierzenie grantu</w:t>
      </w:r>
      <w:r>
        <w:t>, stanowiąc</w:t>
      </w:r>
      <w:r w:rsidR="00187010">
        <w:t>ą</w:t>
      </w:r>
      <w:r>
        <w:t xml:space="preserve"> załącznik nr 5 do Regulaminu </w:t>
      </w:r>
      <w:r w:rsidR="00527255">
        <w:t>nabor</w:t>
      </w:r>
      <w:r>
        <w:t>u.</w:t>
      </w:r>
      <w:r w:rsidR="00ED4218">
        <w:t xml:space="preserve"> </w:t>
      </w:r>
      <w:r w:rsidR="000C683A">
        <w:t>Krótki o</w:t>
      </w:r>
      <w:r w:rsidR="00ED4218">
        <w:t xml:space="preserve">pis </w:t>
      </w:r>
      <w:r w:rsidR="000C683A">
        <w:t>projektu</w:t>
      </w:r>
      <w:r w:rsidR="00ED4218">
        <w:t xml:space="preserve"> zawarty w cz. I wniosku o powierzenie grantu musi być tożsamy z treścią </w:t>
      </w:r>
      <w:r w:rsidR="00AD508C">
        <w:t>wskazan</w:t>
      </w:r>
      <w:r w:rsidR="00B47A5A">
        <w:t>ą</w:t>
      </w:r>
      <w:r w:rsidR="00AD508C">
        <w:t xml:space="preserve"> we </w:t>
      </w:r>
      <w:r w:rsidR="00ED4218">
        <w:t>wniosku</w:t>
      </w:r>
      <w:r w:rsidR="00B47A5A" w:rsidRPr="00B47A5A">
        <w:t xml:space="preserve"> </w:t>
      </w:r>
      <w:r w:rsidR="00B47A5A">
        <w:t>dla projektu</w:t>
      </w:r>
      <w:r w:rsidR="00ED4218">
        <w:t xml:space="preserve">, który uzyskał </w:t>
      </w:r>
      <w:r w:rsidR="00ED4218" w:rsidRPr="00CC7265">
        <w:rPr>
          <w:color w:val="auto"/>
        </w:rPr>
        <w:t xml:space="preserve">certyfikat Seal of Excellence w </w:t>
      </w:r>
      <w:r w:rsidR="00ED4218" w:rsidRPr="00CC7265">
        <w:t>SMEI F1 H2020</w:t>
      </w:r>
      <w:r w:rsidR="00ED4218">
        <w:t xml:space="preserve">. Za tożsamość ww. opisu odpowiada </w:t>
      </w:r>
      <w:r w:rsidR="000C683A">
        <w:t>w</w:t>
      </w:r>
      <w:r w:rsidR="00ED4218">
        <w:t>nioskodawca.</w:t>
      </w:r>
      <w:r w:rsidR="00D132D5">
        <w:t xml:space="preserve"> W przypadku rozbieżności</w:t>
      </w:r>
      <w:r w:rsidR="00542BA0">
        <w:t xml:space="preserve"> tych </w:t>
      </w:r>
      <w:r w:rsidR="00D132D5">
        <w:t xml:space="preserve">treści, za obowiązującą uznaje się treść </w:t>
      </w:r>
      <w:r w:rsidR="00AD508C">
        <w:t xml:space="preserve">projektu wskazanego we </w:t>
      </w:r>
      <w:r w:rsidR="00D132D5">
        <w:t xml:space="preserve">wniosku, który uzyskał </w:t>
      </w:r>
      <w:r w:rsidR="00D132D5" w:rsidRPr="00CC7265">
        <w:rPr>
          <w:color w:val="auto"/>
        </w:rPr>
        <w:t xml:space="preserve">certyfikat Seal of Excellence w </w:t>
      </w:r>
      <w:r w:rsidR="00D132D5" w:rsidRPr="00CC7265">
        <w:t>SMEI F1 H2020</w:t>
      </w:r>
      <w:r w:rsidR="00D132D5">
        <w:t>.</w:t>
      </w:r>
    </w:p>
    <w:p w14:paraId="04215EBD" w14:textId="1FD5A72A" w:rsidR="00236F3C" w:rsidRPr="00A72742" w:rsidRDefault="00236F3C" w:rsidP="00223CAE">
      <w:pPr>
        <w:pStyle w:val="Default"/>
        <w:numPr>
          <w:ilvl w:val="0"/>
          <w:numId w:val="4"/>
        </w:numPr>
        <w:spacing w:before="120" w:after="120" w:line="271" w:lineRule="auto"/>
        <w:ind w:left="426" w:hanging="426"/>
        <w:jc w:val="both"/>
        <w:rPr>
          <w:color w:val="auto"/>
        </w:rPr>
      </w:pPr>
      <w:r w:rsidRPr="00CC7265">
        <w:t xml:space="preserve">Warunkiem uznania, że wniosek </w:t>
      </w:r>
      <w:r w:rsidR="0065130F">
        <w:t>o powierzenie grantu</w:t>
      </w:r>
      <w:r w:rsidRPr="00CC7265">
        <w:t xml:space="preserve"> został złożony do </w:t>
      </w:r>
      <w:r w:rsidR="00666DE0">
        <w:t>PARP</w:t>
      </w:r>
      <w:r w:rsidR="00666DE0" w:rsidRPr="00CC7265">
        <w:t xml:space="preserve"> </w:t>
      </w:r>
      <w:r w:rsidRPr="00CC7265">
        <w:t xml:space="preserve">jest formalne potwierdzenie przez wnioskodawcę złożenia wniosku w </w:t>
      </w:r>
      <w:r w:rsidR="00D5357F">
        <w:t>GW</w:t>
      </w:r>
      <w:r w:rsidRPr="00CC7265">
        <w:t xml:space="preserve">. Formalne potwierdzenie złożenia wniosku </w:t>
      </w:r>
      <w:r w:rsidR="00DA1A1A">
        <w:t>o powierzenie grantu</w:t>
      </w:r>
      <w:r w:rsidR="00DA1A1A" w:rsidRPr="00CC7265">
        <w:t xml:space="preserve"> </w:t>
      </w:r>
      <w:r w:rsidRPr="00CC7265">
        <w:t xml:space="preserve">następuje poprzez złożenie do </w:t>
      </w:r>
      <w:r w:rsidR="00666DE0">
        <w:t>PARP</w:t>
      </w:r>
      <w:r w:rsidR="00666DE0" w:rsidRPr="00CC7265">
        <w:t xml:space="preserve"> </w:t>
      </w:r>
      <w:r w:rsidRPr="00CC7265">
        <w:t>oświadczenia, o którym mowa w u</w:t>
      </w:r>
      <w:r w:rsidRPr="00A72742">
        <w:t xml:space="preserve">st. </w:t>
      </w:r>
      <w:r w:rsidR="00E23E65">
        <w:t>9</w:t>
      </w:r>
      <w:r w:rsidRPr="00A72742">
        <w:t>.</w:t>
      </w:r>
    </w:p>
    <w:p w14:paraId="0F3C204D" w14:textId="614A32D6" w:rsidR="002B1FBD" w:rsidRPr="00A72742" w:rsidRDefault="004C4244" w:rsidP="00223CAE">
      <w:pPr>
        <w:pStyle w:val="Default"/>
        <w:numPr>
          <w:ilvl w:val="0"/>
          <w:numId w:val="4"/>
        </w:numPr>
        <w:spacing w:before="120" w:after="120" w:line="271" w:lineRule="auto"/>
        <w:ind w:left="426" w:hanging="426"/>
        <w:jc w:val="both"/>
        <w:rPr>
          <w:color w:val="auto"/>
        </w:rPr>
      </w:pPr>
      <w:r w:rsidRPr="00A72742">
        <w:t xml:space="preserve">Wniosek </w:t>
      </w:r>
      <w:r w:rsidR="00B93F7C">
        <w:t>o powierzenie grantu</w:t>
      </w:r>
      <w:r w:rsidRPr="00A72742">
        <w:t xml:space="preserve"> </w:t>
      </w:r>
      <w:r w:rsidR="00D61C3B" w:rsidRPr="00A72742">
        <w:t>musi zostać sporządzony</w:t>
      </w:r>
      <w:r w:rsidRPr="00A72742">
        <w:t xml:space="preserve"> w języku polskim, zgodnie z art. 5 ustawy z dnia 7 października 1999 r. o języku polskim (Dz. U. z 2011 r. Nr 43, poz. 224, z</w:t>
      </w:r>
      <w:r w:rsidR="00FA6B1B">
        <w:t>e</w:t>
      </w:r>
      <w:r w:rsidRPr="00A72742">
        <w:t xml:space="preserve"> zm.), z wyjątkiem użycia obcojęzycznych nazw własnych oraz pojedynczych wyrażeń w języku obcym. </w:t>
      </w:r>
      <w:r w:rsidR="00C37E2F">
        <w:t>Wnioskodawca</w:t>
      </w:r>
      <w:r w:rsidR="00C37E2F" w:rsidRPr="00A72742">
        <w:t xml:space="preserve"> </w:t>
      </w:r>
      <w:r w:rsidRPr="00A72742">
        <w:t xml:space="preserve">składa </w:t>
      </w:r>
      <w:r w:rsidR="002B1FBD" w:rsidRPr="00A72742">
        <w:t xml:space="preserve">w </w:t>
      </w:r>
      <w:r w:rsidR="00D12846">
        <w:t xml:space="preserve">GW </w:t>
      </w:r>
      <w:r w:rsidR="009B56F0" w:rsidRPr="00A72742">
        <w:t>załączniki</w:t>
      </w:r>
      <w:r w:rsidR="002B1FBD" w:rsidRPr="00A72742">
        <w:t xml:space="preserve">, poświadczone za zgodność z oryginałem przez osobę uprawnioną do reprezentacji </w:t>
      </w:r>
      <w:r w:rsidR="00C37E2F">
        <w:t>wnioskodawc</w:t>
      </w:r>
      <w:r w:rsidR="00C37E2F" w:rsidRPr="00A72742">
        <w:t>y</w:t>
      </w:r>
      <w:r w:rsidR="002B1FBD" w:rsidRPr="00A72742">
        <w:t xml:space="preserve">, </w:t>
      </w:r>
      <w:r w:rsidR="002B1FBD" w:rsidRPr="00632186">
        <w:t xml:space="preserve">zgodnie z wpisem </w:t>
      </w:r>
      <w:r w:rsidR="004903DF">
        <w:t>do</w:t>
      </w:r>
      <w:r w:rsidR="002B1FBD" w:rsidRPr="00632186">
        <w:t xml:space="preserve"> odpowiedniego rejestru</w:t>
      </w:r>
      <w:r w:rsidR="003E48AB">
        <w:t xml:space="preserve"> lub innym dokumentem</w:t>
      </w:r>
      <w:r w:rsidR="00A929B3">
        <w:t xml:space="preserve"> poświadczającym umocowanie</w:t>
      </w:r>
      <w:r w:rsidR="00B93F7C">
        <w:t>.</w:t>
      </w:r>
      <w:r w:rsidR="002B1FBD" w:rsidRPr="00A72742">
        <w:t xml:space="preserve"> </w:t>
      </w:r>
      <w:r w:rsidR="00B93F7C" w:rsidRPr="00A72742">
        <w:t xml:space="preserve">Załączniki </w:t>
      </w:r>
      <w:r w:rsidR="00895229" w:rsidRPr="00A72742">
        <w:t>w języku angielskim</w:t>
      </w:r>
      <w:r w:rsidR="002B1FBD" w:rsidRPr="00A72742">
        <w:t xml:space="preserve"> nie wymagają tłumaczenia.</w:t>
      </w:r>
    </w:p>
    <w:p w14:paraId="10AFE0D3" w14:textId="768D1534" w:rsidR="00C32E84" w:rsidRPr="00CC7265" w:rsidRDefault="00C32E84" w:rsidP="00223CAE">
      <w:pPr>
        <w:pStyle w:val="Default"/>
        <w:numPr>
          <w:ilvl w:val="0"/>
          <w:numId w:val="4"/>
        </w:numPr>
        <w:spacing w:before="120" w:after="120" w:line="271" w:lineRule="auto"/>
        <w:ind w:left="426"/>
        <w:jc w:val="both"/>
        <w:rPr>
          <w:color w:val="auto"/>
        </w:rPr>
      </w:pPr>
      <w:r w:rsidRPr="00A72742">
        <w:rPr>
          <w:color w:val="auto"/>
        </w:rPr>
        <w:t xml:space="preserve">Zarejestrowanie i złożenie wniosku o </w:t>
      </w:r>
      <w:r w:rsidR="00B93F7C">
        <w:rPr>
          <w:color w:val="auto"/>
        </w:rPr>
        <w:t>powierzenie grantu</w:t>
      </w:r>
      <w:r w:rsidR="00B93F7C" w:rsidRPr="00A72742">
        <w:rPr>
          <w:color w:val="auto"/>
        </w:rPr>
        <w:t xml:space="preserve"> </w:t>
      </w:r>
      <w:r w:rsidRPr="00A72742">
        <w:rPr>
          <w:color w:val="auto"/>
        </w:rPr>
        <w:t xml:space="preserve">w </w:t>
      </w:r>
      <w:r w:rsidR="00D12846">
        <w:rPr>
          <w:color w:val="auto"/>
        </w:rPr>
        <w:t xml:space="preserve">GW </w:t>
      </w:r>
      <w:r w:rsidRPr="00A72742">
        <w:rPr>
          <w:color w:val="auto"/>
        </w:rPr>
        <w:t>będzie</w:t>
      </w:r>
      <w:r w:rsidRPr="00CC7265">
        <w:rPr>
          <w:color w:val="auto"/>
        </w:rPr>
        <w:t xml:space="preserve"> możliwe w okresie naboru wniosków o </w:t>
      </w:r>
      <w:r w:rsidR="006D6B37">
        <w:rPr>
          <w:color w:val="auto"/>
        </w:rPr>
        <w:t>powierzenie grantu</w:t>
      </w:r>
      <w:r w:rsidR="006D6B37" w:rsidRPr="00CC7265">
        <w:rPr>
          <w:color w:val="auto"/>
        </w:rPr>
        <w:t xml:space="preserve"> </w:t>
      </w:r>
      <w:r w:rsidRPr="00CC7265">
        <w:rPr>
          <w:color w:val="auto"/>
        </w:rPr>
        <w:t>określonym w § 3 ust.</w:t>
      </w:r>
      <w:r w:rsidR="00712421">
        <w:rPr>
          <w:color w:val="auto"/>
        </w:rPr>
        <w:t> </w:t>
      </w:r>
      <w:r w:rsidRPr="00CC7265">
        <w:rPr>
          <w:color w:val="auto"/>
        </w:rPr>
        <w:t>3.</w:t>
      </w:r>
    </w:p>
    <w:p w14:paraId="4650B0A1" w14:textId="6F546E7B" w:rsidR="00C32E84" w:rsidRPr="00CC7265" w:rsidRDefault="00C32E84" w:rsidP="00223CAE">
      <w:pPr>
        <w:pStyle w:val="Default"/>
        <w:numPr>
          <w:ilvl w:val="0"/>
          <w:numId w:val="4"/>
        </w:numPr>
        <w:spacing w:before="120" w:after="120" w:line="271" w:lineRule="auto"/>
        <w:ind w:left="426" w:hanging="426"/>
        <w:jc w:val="both"/>
        <w:rPr>
          <w:color w:val="auto"/>
        </w:rPr>
      </w:pPr>
      <w:r w:rsidRPr="00CC7265">
        <w:rPr>
          <w:rFonts w:eastAsia="Calibri"/>
          <w:bCs/>
        </w:rPr>
        <w:t xml:space="preserve">Datą </w:t>
      </w:r>
      <w:r w:rsidRPr="00CC7265">
        <w:rPr>
          <w:rFonts w:eastAsia="Calibri"/>
        </w:rPr>
        <w:t xml:space="preserve">złożenia wniosku </w:t>
      </w:r>
      <w:r w:rsidR="00D31C6B">
        <w:rPr>
          <w:rFonts w:eastAsia="Calibri"/>
        </w:rPr>
        <w:t>o powierzenie grantu</w:t>
      </w:r>
      <w:r w:rsidRPr="00CC7265">
        <w:rPr>
          <w:rFonts w:eastAsia="Calibri"/>
          <w:b/>
          <w:bCs/>
        </w:rPr>
        <w:t xml:space="preserve"> </w:t>
      </w:r>
      <w:r w:rsidRPr="00CC7265">
        <w:rPr>
          <w:rFonts w:eastAsia="Calibri"/>
          <w:bCs/>
        </w:rPr>
        <w:t>jest data wygenerowana przez system po naciśnięciu przycisku „Złóż wniosek” w</w:t>
      </w:r>
      <w:r w:rsidR="00D12846">
        <w:rPr>
          <w:rFonts w:eastAsia="Calibri"/>
          <w:bCs/>
        </w:rPr>
        <w:t xml:space="preserve"> GW </w:t>
      </w:r>
      <w:r w:rsidRPr="00CC7265">
        <w:rPr>
          <w:rFonts w:eastAsia="Calibri"/>
          <w:bCs/>
        </w:rPr>
        <w:t>.</w:t>
      </w:r>
    </w:p>
    <w:p w14:paraId="2094F040" w14:textId="151F5E5F" w:rsidR="00C32E84" w:rsidRPr="00CC7265" w:rsidRDefault="00C32E84" w:rsidP="00223CAE">
      <w:pPr>
        <w:pStyle w:val="Default"/>
        <w:numPr>
          <w:ilvl w:val="0"/>
          <w:numId w:val="4"/>
        </w:numPr>
        <w:spacing w:before="120" w:after="120" w:line="271" w:lineRule="auto"/>
        <w:ind w:left="426" w:hanging="426"/>
        <w:jc w:val="both"/>
        <w:rPr>
          <w:color w:val="auto"/>
        </w:rPr>
      </w:pPr>
      <w:r w:rsidRPr="00CC7265">
        <w:rPr>
          <w:rFonts w:eastAsia="Calibri"/>
          <w:bCs/>
        </w:rPr>
        <w:t xml:space="preserve">Wnioski </w:t>
      </w:r>
      <w:r w:rsidR="00D31C6B">
        <w:rPr>
          <w:rFonts w:eastAsia="Calibri"/>
          <w:bCs/>
        </w:rPr>
        <w:t>o powierzenie grantu</w:t>
      </w:r>
      <w:r w:rsidRPr="00CC7265">
        <w:rPr>
          <w:rFonts w:eastAsia="Calibri"/>
          <w:bCs/>
        </w:rPr>
        <w:t xml:space="preserve"> składane w ostatni dzień naboru powinny zostać złożone w Generatorze Wniosków do godz. 16:00:00. Z upływem tej godziny upływa termin naboru wniosków. Czas złożenia wniosku </w:t>
      </w:r>
      <w:r w:rsidR="00D31C6B">
        <w:rPr>
          <w:rFonts w:eastAsia="Calibri"/>
          <w:bCs/>
        </w:rPr>
        <w:t>o powierzenie grantu</w:t>
      </w:r>
      <w:r w:rsidRPr="00CC7265">
        <w:rPr>
          <w:rFonts w:eastAsia="Calibri"/>
          <w:bCs/>
        </w:rPr>
        <w:t xml:space="preserve"> odnotowywany jest przez serwer </w:t>
      </w:r>
      <w:r w:rsidR="00666DE0">
        <w:rPr>
          <w:rFonts w:eastAsia="Calibri"/>
          <w:bCs/>
        </w:rPr>
        <w:t>PARP</w:t>
      </w:r>
      <w:r w:rsidR="00632186">
        <w:rPr>
          <w:rFonts w:eastAsia="Calibri"/>
          <w:bCs/>
        </w:rPr>
        <w:t>.</w:t>
      </w:r>
    </w:p>
    <w:p w14:paraId="0CD17FF9" w14:textId="72C54A8A" w:rsidR="00C32E84" w:rsidRPr="00CC7265" w:rsidRDefault="00C32E84" w:rsidP="00223CAE">
      <w:pPr>
        <w:pStyle w:val="Default"/>
        <w:numPr>
          <w:ilvl w:val="0"/>
          <w:numId w:val="4"/>
        </w:numPr>
        <w:spacing w:before="120" w:after="120" w:line="271" w:lineRule="auto"/>
        <w:ind w:left="426" w:hanging="426"/>
        <w:jc w:val="both"/>
        <w:rPr>
          <w:rFonts w:eastAsia="Calibri"/>
          <w:bCs/>
        </w:rPr>
      </w:pPr>
      <w:r w:rsidRPr="00CC7265">
        <w:rPr>
          <w:rFonts w:eastAsia="Calibri"/>
          <w:bCs/>
        </w:rPr>
        <w:t xml:space="preserve">Formalne potwierdzenie złożenia wniosku </w:t>
      </w:r>
      <w:r w:rsidR="00D31C6B">
        <w:rPr>
          <w:rFonts w:eastAsia="Calibri"/>
          <w:bCs/>
        </w:rPr>
        <w:t>o powierzenie grantu</w:t>
      </w:r>
      <w:r w:rsidRPr="00CC7265">
        <w:rPr>
          <w:rFonts w:eastAsia="Calibri"/>
          <w:bCs/>
        </w:rPr>
        <w:t xml:space="preserve"> musi nastąpić w ciągu </w:t>
      </w:r>
      <w:r w:rsidRPr="00CC7265">
        <w:rPr>
          <w:rFonts w:eastAsia="Calibri"/>
          <w:bCs/>
        </w:rPr>
        <w:br/>
        <w:t xml:space="preserve">2 dni roboczych od dnia złożenia wniosku </w:t>
      </w:r>
      <w:r w:rsidR="00D31C6B">
        <w:rPr>
          <w:rFonts w:eastAsia="Calibri"/>
          <w:bCs/>
        </w:rPr>
        <w:t>o powierzenie grantu</w:t>
      </w:r>
      <w:r w:rsidRPr="00CC7265">
        <w:rPr>
          <w:rFonts w:eastAsia="Calibri"/>
          <w:bCs/>
        </w:rPr>
        <w:t xml:space="preserve"> w</w:t>
      </w:r>
      <w:r w:rsidR="00652869">
        <w:rPr>
          <w:rFonts w:eastAsia="Calibri"/>
          <w:bCs/>
        </w:rPr>
        <w:t xml:space="preserve"> </w:t>
      </w:r>
      <w:r w:rsidR="00D12846">
        <w:rPr>
          <w:rFonts w:eastAsia="Calibri"/>
          <w:bCs/>
        </w:rPr>
        <w:t>GW</w:t>
      </w:r>
      <w:r w:rsidRPr="00CC7265">
        <w:rPr>
          <w:rFonts w:eastAsia="Calibri"/>
          <w:bCs/>
        </w:rPr>
        <w:t xml:space="preserve">. W celu formalnego potwierdzenia złożenia wniosku </w:t>
      </w:r>
      <w:r w:rsidR="00D31C6B">
        <w:rPr>
          <w:rFonts w:eastAsia="Calibri"/>
          <w:bCs/>
        </w:rPr>
        <w:t>o powierzenie grantu</w:t>
      </w:r>
      <w:r w:rsidRPr="00CC7265">
        <w:rPr>
          <w:rFonts w:eastAsia="Calibri"/>
          <w:bCs/>
        </w:rPr>
        <w:t xml:space="preserve">, </w:t>
      </w:r>
      <w:r w:rsidR="00C37E2F">
        <w:rPr>
          <w:rFonts w:eastAsia="Calibri"/>
          <w:bCs/>
        </w:rPr>
        <w:t>wnioskodaw</w:t>
      </w:r>
      <w:r w:rsidR="00C37E2F" w:rsidRPr="00CC7265">
        <w:rPr>
          <w:rFonts w:eastAsia="Calibri"/>
          <w:bCs/>
        </w:rPr>
        <w:t xml:space="preserve">ca </w:t>
      </w:r>
      <w:r w:rsidRPr="00CC7265">
        <w:rPr>
          <w:rFonts w:eastAsia="Calibri"/>
          <w:bCs/>
        </w:rPr>
        <w:t xml:space="preserve">jest zobowiązany do załączenia w </w:t>
      </w:r>
      <w:r w:rsidR="00D12846">
        <w:rPr>
          <w:rFonts w:eastAsia="Calibri"/>
          <w:bCs/>
        </w:rPr>
        <w:t xml:space="preserve">GW </w:t>
      </w:r>
      <w:r w:rsidRPr="00CC7265">
        <w:rPr>
          <w:rFonts w:eastAsia="Calibri"/>
          <w:bCs/>
        </w:rPr>
        <w:t xml:space="preserve">skanu oświadczenia, zgodnego z treścią załącznika nr </w:t>
      </w:r>
      <w:r w:rsidR="00ED382B">
        <w:rPr>
          <w:rFonts w:eastAsia="Calibri"/>
          <w:bCs/>
        </w:rPr>
        <w:t>6</w:t>
      </w:r>
      <w:r w:rsidR="00ED382B" w:rsidRPr="00CC7265">
        <w:rPr>
          <w:rFonts w:eastAsia="Calibri"/>
          <w:bCs/>
        </w:rPr>
        <w:t xml:space="preserve"> </w:t>
      </w:r>
      <w:r w:rsidRPr="00CC7265">
        <w:rPr>
          <w:rFonts w:eastAsia="Calibri"/>
          <w:bCs/>
        </w:rPr>
        <w:t xml:space="preserve">do </w:t>
      </w:r>
      <w:r w:rsidR="00D0140D">
        <w:rPr>
          <w:rFonts w:eastAsia="Calibri"/>
          <w:bCs/>
        </w:rPr>
        <w:t>R</w:t>
      </w:r>
      <w:r w:rsidRPr="00CC7265">
        <w:rPr>
          <w:rFonts w:eastAsia="Calibri"/>
          <w:bCs/>
        </w:rPr>
        <w:t>egulaminu</w:t>
      </w:r>
      <w:r w:rsidR="00D0140D">
        <w:rPr>
          <w:rFonts w:eastAsia="Calibri"/>
          <w:bCs/>
        </w:rPr>
        <w:t xml:space="preserve"> </w:t>
      </w:r>
      <w:r w:rsidR="00527255">
        <w:rPr>
          <w:rFonts w:eastAsia="Calibri"/>
          <w:bCs/>
        </w:rPr>
        <w:t>nabor</w:t>
      </w:r>
      <w:r w:rsidR="00D0140D">
        <w:rPr>
          <w:rFonts w:eastAsia="Calibri"/>
          <w:bCs/>
        </w:rPr>
        <w:t>u</w:t>
      </w:r>
      <w:r w:rsidRPr="00CC7265">
        <w:rPr>
          <w:rFonts w:eastAsia="Calibri"/>
          <w:bCs/>
        </w:rPr>
        <w:t xml:space="preserve">, podpisanego przez osobę lub osoby upoważnione do reprezentowania </w:t>
      </w:r>
      <w:r w:rsidR="00C37E2F">
        <w:rPr>
          <w:rFonts w:eastAsia="Calibri"/>
          <w:bCs/>
        </w:rPr>
        <w:t>wnioskodaw</w:t>
      </w:r>
      <w:r w:rsidR="00C37E2F" w:rsidRPr="00CC7265">
        <w:rPr>
          <w:rFonts w:eastAsia="Calibri"/>
          <w:bCs/>
        </w:rPr>
        <w:t xml:space="preserve">cy </w:t>
      </w:r>
      <w:r w:rsidRPr="00CC7265">
        <w:rPr>
          <w:rFonts w:eastAsia="Calibri"/>
          <w:bCs/>
        </w:rPr>
        <w:t xml:space="preserve">(wraz ze skanem pełnomocnictwa lub innego dokumentu poświadczającego umocowanie osoby/osób składających podpisy do reprezentowania </w:t>
      </w:r>
      <w:r w:rsidR="00C37E2F">
        <w:rPr>
          <w:rFonts w:eastAsia="Calibri"/>
          <w:bCs/>
        </w:rPr>
        <w:t>wnioskodaw</w:t>
      </w:r>
      <w:r w:rsidR="00C37E2F" w:rsidRPr="00CC7265">
        <w:rPr>
          <w:rFonts w:eastAsia="Calibri"/>
          <w:bCs/>
        </w:rPr>
        <w:t xml:space="preserve">cy </w:t>
      </w:r>
      <w:r w:rsidRPr="00CC7265">
        <w:rPr>
          <w:rFonts w:eastAsia="Calibri"/>
          <w:bCs/>
        </w:rPr>
        <w:t xml:space="preserve">– jeśli dotyczy). </w:t>
      </w:r>
    </w:p>
    <w:p w14:paraId="5C273A30" w14:textId="15C98FAA" w:rsidR="00C32E84" w:rsidRPr="00E93BBD" w:rsidRDefault="00C32E84" w:rsidP="00223CAE">
      <w:pPr>
        <w:pStyle w:val="Default"/>
        <w:numPr>
          <w:ilvl w:val="0"/>
          <w:numId w:val="4"/>
        </w:numPr>
        <w:spacing w:before="120" w:after="120" w:line="271" w:lineRule="auto"/>
        <w:ind w:left="426" w:hanging="426"/>
        <w:jc w:val="both"/>
        <w:rPr>
          <w:color w:val="auto"/>
        </w:rPr>
      </w:pPr>
      <w:r w:rsidRPr="007152DD">
        <w:rPr>
          <w:rFonts w:eastAsia="Calibri"/>
          <w:bCs/>
        </w:rPr>
        <w:t xml:space="preserve">Oświadczenie, o którym mowa w ust. </w:t>
      </w:r>
      <w:r w:rsidR="00E23E65">
        <w:rPr>
          <w:rFonts w:eastAsia="Calibri"/>
          <w:bCs/>
        </w:rPr>
        <w:t>9</w:t>
      </w:r>
      <w:r w:rsidRPr="007152DD">
        <w:rPr>
          <w:rFonts w:eastAsia="Calibri"/>
          <w:bCs/>
        </w:rPr>
        <w:t xml:space="preserve">, będzie dostępne w </w:t>
      </w:r>
      <w:r w:rsidR="00D12846">
        <w:rPr>
          <w:rFonts w:eastAsia="Calibri"/>
          <w:bCs/>
        </w:rPr>
        <w:t xml:space="preserve">GW </w:t>
      </w:r>
      <w:r w:rsidRPr="007152DD">
        <w:rPr>
          <w:rFonts w:eastAsia="Calibri"/>
          <w:bCs/>
        </w:rPr>
        <w:t>po naciśnięciu przycisku „Złóż wniosek” w Generatorze Wniosków.</w:t>
      </w:r>
    </w:p>
    <w:p w14:paraId="67F02F42" w14:textId="3E5C6520" w:rsidR="00C32E84" w:rsidRPr="007152DD" w:rsidRDefault="00C32E84" w:rsidP="00223CAE">
      <w:pPr>
        <w:pStyle w:val="Default"/>
        <w:numPr>
          <w:ilvl w:val="0"/>
          <w:numId w:val="4"/>
        </w:numPr>
        <w:spacing w:before="120" w:after="120" w:line="271" w:lineRule="auto"/>
        <w:ind w:left="426" w:hanging="426"/>
        <w:jc w:val="both"/>
        <w:rPr>
          <w:rFonts w:eastAsia="Calibri"/>
          <w:bCs/>
        </w:rPr>
      </w:pPr>
      <w:r w:rsidRPr="007152DD">
        <w:rPr>
          <w:rFonts w:eastAsia="Calibri"/>
          <w:bCs/>
        </w:rPr>
        <w:lastRenderedPageBreak/>
        <w:t xml:space="preserve">Po załączeniu skanu oświadczenia o złożeniu wniosku </w:t>
      </w:r>
      <w:r w:rsidR="00CA00A9" w:rsidRPr="00CA00A9">
        <w:rPr>
          <w:rFonts w:eastAsia="Calibri"/>
          <w:bCs/>
        </w:rPr>
        <w:t xml:space="preserve">o powierzenie grantu </w:t>
      </w:r>
      <w:r w:rsidRPr="007152DD">
        <w:rPr>
          <w:rFonts w:eastAsia="Calibri"/>
          <w:bCs/>
        </w:rPr>
        <w:t xml:space="preserve">w Generatorze Wniosków, </w:t>
      </w:r>
      <w:r w:rsidR="00C37E2F">
        <w:rPr>
          <w:rFonts w:eastAsia="Calibri"/>
          <w:bCs/>
        </w:rPr>
        <w:t>wnioskodaw</w:t>
      </w:r>
      <w:r w:rsidR="00C37E2F" w:rsidRPr="007152DD">
        <w:rPr>
          <w:rFonts w:eastAsia="Calibri"/>
          <w:bCs/>
        </w:rPr>
        <w:t xml:space="preserve">ca </w:t>
      </w:r>
      <w:r w:rsidRPr="007152DD">
        <w:rPr>
          <w:rFonts w:eastAsia="Calibri"/>
          <w:bCs/>
        </w:rPr>
        <w:t xml:space="preserve">dostarcza oryginał oświadczenia do </w:t>
      </w:r>
      <w:r w:rsidR="00666DE0">
        <w:rPr>
          <w:rFonts w:eastAsia="Calibri"/>
          <w:bCs/>
        </w:rPr>
        <w:t>PARP</w:t>
      </w:r>
      <w:r w:rsidR="00666DE0" w:rsidRPr="007152DD">
        <w:rPr>
          <w:rFonts w:eastAsia="Calibri"/>
          <w:bCs/>
        </w:rPr>
        <w:t xml:space="preserve"> </w:t>
      </w:r>
      <w:r w:rsidRPr="007152DD">
        <w:rPr>
          <w:rFonts w:eastAsia="Calibri"/>
          <w:bCs/>
        </w:rPr>
        <w:t>(wraz z oryginałem pełnomocnictwa lub innego dokumentu poświadczającego umocowanie osoby/osób składających podpisy do reprezentowania wnioskodawcy – jeśli dotyczy):</w:t>
      </w:r>
    </w:p>
    <w:p w14:paraId="0451DF6E" w14:textId="77777777" w:rsidR="00C32E84" w:rsidRPr="007152DD" w:rsidRDefault="00C32E84" w:rsidP="00223CAE">
      <w:pPr>
        <w:numPr>
          <w:ilvl w:val="0"/>
          <w:numId w:val="16"/>
        </w:numPr>
        <w:spacing w:after="120"/>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na adres:</w:t>
      </w:r>
    </w:p>
    <w:p w14:paraId="53F53A61" w14:textId="77777777" w:rsidR="00C32E84" w:rsidRPr="007152DD" w:rsidRDefault="00C32E84" w:rsidP="00C32E84">
      <w:pPr>
        <w:spacing w:after="120"/>
        <w:ind w:firstLine="709"/>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Polska Agencja Rozwoju Przedsiębiorczości</w:t>
      </w:r>
    </w:p>
    <w:p w14:paraId="01CD76A8" w14:textId="77777777" w:rsidR="00C32E84" w:rsidRPr="007152DD" w:rsidRDefault="00C32E84" w:rsidP="00C32E84">
      <w:pPr>
        <w:spacing w:after="120"/>
        <w:ind w:firstLine="709"/>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ul. Pańska 81/83</w:t>
      </w:r>
    </w:p>
    <w:p w14:paraId="424DAF39" w14:textId="77777777" w:rsidR="00C32E84" w:rsidRPr="007152DD" w:rsidRDefault="00C32E84" w:rsidP="00C32E84">
      <w:pPr>
        <w:spacing w:after="120"/>
        <w:ind w:left="720"/>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00-834 Warszawa</w:t>
      </w:r>
    </w:p>
    <w:p w14:paraId="3947ED49" w14:textId="77777777" w:rsidR="00C32E84" w:rsidRPr="007152DD" w:rsidRDefault="00C32E84" w:rsidP="00C32E84">
      <w:pPr>
        <w:spacing w:after="120"/>
        <w:ind w:left="720"/>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 xml:space="preserve">z dopiskiem „dotyczy </w:t>
      </w:r>
      <w:r w:rsidR="00B76C24" w:rsidRPr="007152DD">
        <w:rPr>
          <w:rFonts w:ascii="Times New Roman" w:eastAsia="Calibri" w:hAnsi="Times New Roman" w:cs="Times New Roman"/>
          <w:bCs/>
          <w:sz w:val="24"/>
          <w:szCs w:val="24"/>
        </w:rPr>
        <w:t>naboru    ......</w:t>
      </w:r>
      <w:r w:rsidRPr="007152DD">
        <w:rPr>
          <w:rFonts w:ascii="Times New Roman" w:eastAsia="Calibri" w:hAnsi="Times New Roman" w:cs="Times New Roman"/>
          <w:bCs/>
          <w:sz w:val="24"/>
          <w:szCs w:val="24"/>
        </w:rPr>
        <w:t xml:space="preserve">” </w:t>
      </w:r>
      <w:r w:rsidRPr="0012293C">
        <w:rPr>
          <w:rFonts w:ascii="Times New Roman" w:eastAsia="Calibri" w:hAnsi="Times New Roman" w:cs="Times New Roman"/>
          <w:bCs/>
          <w:sz w:val="24"/>
          <w:szCs w:val="24"/>
        </w:rPr>
        <w:t>albo</w:t>
      </w:r>
    </w:p>
    <w:p w14:paraId="1766D041" w14:textId="77777777" w:rsidR="00C32E84" w:rsidRPr="007152DD" w:rsidRDefault="00C32E84" w:rsidP="00223CAE">
      <w:pPr>
        <w:numPr>
          <w:ilvl w:val="0"/>
          <w:numId w:val="16"/>
        </w:numPr>
        <w:spacing w:after="120"/>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za pośrednictwem platformy usług administracji publicznej ePUAP</w:t>
      </w:r>
      <w:r w:rsidR="00632186">
        <w:rPr>
          <w:rFonts w:ascii="Times New Roman" w:eastAsia="Calibri" w:hAnsi="Times New Roman" w:cs="Times New Roman"/>
          <w:bCs/>
          <w:sz w:val="24"/>
          <w:szCs w:val="24"/>
        </w:rPr>
        <w:t xml:space="preserve"> (</w:t>
      </w:r>
      <w:r w:rsidR="00632186" w:rsidRPr="00632186">
        <w:rPr>
          <w:rFonts w:ascii="Times New Roman" w:eastAsia="Calibri" w:hAnsi="Times New Roman" w:cs="Times New Roman"/>
          <w:bCs/>
          <w:sz w:val="24"/>
          <w:szCs w:val="24"/>
        </w:rPr>
        <w:t>epuap.gov.pl</w:t>
      </w:r>
      <w:r w:rsidR="00632186">
        <w:rPr>
          <w:rFonts w:ascii="Times New Roman" w:eastAsia="Calibri" w:hAnsi="Times New Roman" w:cs="Times New Roman"/>
          <w:bCs/>
          <w:sz w:val="24"/>
          <w:szCs w:val="24"/>
        </w:rPr>
        <w:t>)</w:t>
      </w:r>
      <w:r w:rsidRPr="007152DD">
        <w:rPr>
          <w:rFonts w:ascii="Times New Roman" w:eastAsia="Calibri" w:hAnsi="Times New Roman" w:cs="Times New Roman"/>
          <w:bCs/>
          <w:sz w:val="24"/>
          <w:szCs w:val="24"/>
        </w:rPr>
        <w:t xml:space="preserve"> z wykorzystaniem kwalifikowanego podpisu elektronicznego albo podpisu potwierdzonego profilem zaufanym ePUAP.</w:t>
      </w:r>
    </w:p>
    <w:p w14:paraId="5E501312" w14:textId="13AC8CBD" w:rsidR="00C32E84" w:rsidRPr="007152DD" w:rsidRDefault="00C32E84" w:rsidP="00C32E84">
      <w:pPr>
        <w:spacing w:after="120"/>
        <w:ind w:left="360"/>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 xml:space="preserve">Weryfikacja przez </w:t>
      </w:r>
      <w:r w:rsidR="00666DE0">
        <w:rPr>
          <w:rFonts w:ascii="Times New Roman" w:eastAsia="Calibri" w:hAnsi="Times New Roman" w:cs="Times New Roman"/>
          <w:bCs/>
          <w:sz w:val="24"/>
          <w:szCs w:val="24"/>
        </w:rPr>
        <w:t>PARP</w:t>
      </w:r>
      <w:r w:rsidR="00666DE0" w:rsidRPr="007152DD">
        <w:rPr>
          <w:rFonts w:ascii="Times New Roman" w:eastAsia="Calibri" w:hAnsi="Times New Roman" w:cs="Times New Roman"/>
          <w:bCs/>
          <w:sz w:val="24"/>
          <w:szCs w:val="24"/>
        </w:rPr>
        <w:t xml:space="preserve"> </w:t>
      </w:r>
      <w:r w:rsidRPr="007152DD">
        <w:rPr>
          <w:rFonts w:ascii="Times New Roman" w:eastAsia="Calibri" w:hAnsi="Times New Roman" w:cs="Times New Roman"/>
          <w:bCs/>
          <w:sz w:val="24"/>
          <w:szCs w:val="24"/>
        </w:rPr>
        <w:t xml:space="preserve">oryginału oświadczenia o złożeniu wniosku </w:t>
      </w:r>
      <w:r w:rsidR="00705CE0" w:rsidRPr="00705CE0">
        <w:rPr>
          <w:rFonts w:ascii="Times New Roman" w:eastAsia="Calibri" w:hAnsi="Times New Roman" w:cs="Times New Roman"/>
          <w:bCs/>
          <w:sz w:val="24"/>
          <w:szCs w:val="24"/>
        </w:rPr>
        <w:t xml:space="preserve">o powierzenie grantu </w:t>
      </w:r>
      <w:r w:rsidRPr="007152DD">
        <w:rPr>
          <w:rFonts w:ascii="Times New Roman" w:eastAsia="Calibri" w:hAnsi="Times New Roman" w:cs="Times New Roman"/>
          <w:bCs/>
          <w:sz w:val="24"/>
          <w:szCs w:val="24"/>
        </w:rPr>
        <w:t xml:space="preserve">w Generatorze Wniosku dostarczonego przez </w:t>
      </w:r>
      <w:r w:rsidR="00C37E2F">
        <w:rPr>
          <w:rFonts w:ascii="Times New Roman" w:eastAsia="Calibri" w:hAnsi="Times New Roman" w:cs="Times New Roman"/>
          <w:bCs/>
          <w:sz w:val="24"/>
          <w:szCs w:val="24"/>
        </w:rPr>
        <w:t>wnioskodaw</w:t>
      </w:r>
      <w:r w:rsidR="00C37E2F" w:rsidRPr="007152DD">
        <w:rPr>
          <w:rFonts w:ascii="Times New Roman" w:eastAsia="Calibri" w:hAnsi="Times New Roman" w:cs="Times New Roman"/>
          <w:bCs/>
          <w:sz w:val="24"/>
          <w:szCs w:val="24"/>
        </w:rPr>
        <w:t xml:space="preserve">cę </w:t>
      </w:r>
      <w:r w:rsidRPr="007152DD">
        <w:rPr>
          <w:rFonts w:ascii="Times New Roman" w:eastAsia="Calibri" w:hAnsi="Times New Roman" w:cs="Times New Roman"/>
          <w:bCs/>
          <w:sz w:val="24"/>
          <w:szCs w:val="24"/>
        </w:rPr>
        <w:t xml:space="preserve">będzie miała miejsce przed zawarciem umowy o </w:t>
      </w:r>
      <w:r w:rsidR="00A72742" w:rsidRPr="007152DD">
        <w:rPr>
          <w:rFonts w:ascii="Times New Roman" w:eastAsia="Calibri" w:hAnsi="Times New Roman" w:cs="Times New Roman"/>
          <w:bCs/>
          <w:sz w:val="24"/>
          <w:szCs w:val="24"/>
        </w:rPr>
        <w:t>powierzenie grantu</w:t>
      </w:r>
      <w:r w:rsidRPr="007152DD">
        <w:rPr>
          <w:rFonts w:ascii="Times New Roman" w:eastAsia="Calibri" w:hAnsi="Times New Roman" w:cs="Times New Roman"/>
          <w:bCs/>
          <w:sz w:val="24"/>
          <w:szCs w:val="24"/>
        </w:rPr>
        <w:t>.</w:t>
      </w:r>
    </w:p>
    <w:p w14:paraId="40F881FD" w14:textId="65E7FB2D" w:rsidR="004C4244" w:rsidRPr="00CC7265" w:rsidRDefault="004C4244" w:rsidP="00223CAE">
      <w:pPr>
        <w:pStyle w:val="Akapitzlist"/>
        <w:numPr>
          <w:ilvl w:val="0"/>
          <w:numId w:val="4"/>
        </w:numPr>
        <w:spacing w:after="120"/>
        <w:ind w:left="426" w:hanging="426"/>
        <w:jc w:val="both"/>
        <w:rPr>
          <w:rFonts w:ascii="Times New Roman" w:eastAsia="Calibri" w:hAnsi="Times New Roman" w:cs="Times New Roman"/>
          <w:bCs/>
          <w:sz w:val="24"/>
          <w:szCs w:val="24"/>
        </w:rPr>
      </w:pPr>
      <w:r w:rsidRPr="007152DD">
        <w:rPr>
          <w:rFonts w:ascii="Times New Roman" w:eastAsia="Calibri" w:hAnsi="Times New Roman" w:cs="Times New Roman"/>
          <w:bCs/>
          <w:sz w:val="24"/>
          <w:szCs w:val="24"/>
        </w:rPr>
        <w:t>Poprzez podpisanie i złożeni</w:t>
      </w:r>
      <w:r w:rsidR="00D93451">
        <w:rPr>
          <w:rFonts w:ascii="Times New Roman" w:eastAsia="Calibri" w:hAnsi="Times New Roman" w:cs="Times New Roman"/>
          <w:bCs/>
          <w:sz w:val="24"/>
          <w:szCs w:val="24"/>
        </w:rPr>
        <w:t>e</w:t>
      </w:r>
      <w:r w:rsidRPr="007152DD">
        <w:rPr>
          <w:rFonts w:ascii="Times New Roman" w:eastAsia="Calibri" w:hAnsi="Times New Roman" w:cs="Times New Roman"/>
          <w:bCs/>
          <w:sz w:val="24"/>
          <w:szCs w:val="24"/>
        </w:rPr>
        <w:t xml:space="preserve"> oświadczenia, o którym mowa w </w:t>
      </w:r>
      <w:r w:rsidRPr="00E93BBD">
        <w:rPr>
          <w:rFonts w:ascii="Times New Roman" w:eastAsia="Calibri" w:hAnsi="Times New Roman" w:cs="Times New Roman"/>
          <w:bCs/>
          <w:sz w:val="24"/>
          <w:szCs w:val="24"/>
        </w:rPr>
        <w:t xml:space="preserve">ust. </w:t>
      </w:r>
      <w:r w:rsidR="00E23E65">
        <w:rPr>
          <w:rFonts w:ascii="Times New Roman" w:eastAsia="Calibri" w:hAnsi="Times New Roman" w:cs="Times New Roman"/>
          <w:bCs/>
          <w:sz w:val="24"/>
          <w:szCs w:val="24"/>
        </w:rPr>
        <w:t>9</w:t>
      </w:r>
      <w:r w:rsidR="00F42F9D" w:rsidRPr="007152DD">
        <w:rPr>
          <w:rFonts w:ascii="Times New Roman" w:eastAsia="Calibri" w:hAnsi="Times New Roman" w:cs="Times New Roman"/>
          <w:bCs/>
          <w:sz w:val="24"/>
          <w:szCs w:val="24"/>
        </w:rPr>
        <w:t>,</w:t>
      </w:r>
      <w:r w:rsidR="00B739F0" w:rsidRPr="007152DD">
        <w:rPr>
          <w:rFonts w:ascii="Times New Roman" w:eastAsia="Calibri" w:hAnsi="Times New Roman" w:cs="Times New Roman"/>
          <w:bCs/>
          <w:sz w:val="24"/>
          <w:szCs w:val="24"/>
        </w:rPr>
        <w:t xml:space="preserve"> </w:t>
      </w:r>
      <w:r w:rsidR="00C37E2F">
        <w:rPr>
          <w:rFonts w:ascii="Times New Roman" w:eastAsia="Calibri" w:hAnsi="Times New Roman" w:cs="Times New Roman"/>
          <w:bCs/>
          <w:sz w:val="24"/>
          <w:szCs w:val="24"/>
        </w:rPr>
        <w:t>wnioskodaw</w:t>
      </w:r>
      <w:r w:rsidR="00C37E2F" w:rsidRPr="007152DD">
        <w:rPr>
          <w:rFonts w:ascii="Times New Roman" w:eastAsia="Calibri" w:hAnsi="Times New Roman" w:cs="Times New Roman"/>
          <w:bCs/>
          <w:sz w:val="24"/>
          <w:szCs w:val="24"/>
        </w:rPr>
        <w:t xml:space="preserve">ca </w:t>
      </w:r>
      <w:r w:rsidRPr="007152DD">
        <w:rPr>
          <w:rFonts w:ascii="Times New Roman" w:eastAsia="Calibri" w:hAnsi="Times New Roman" w:cs="Times New Roman"/>
          <w:bCs/>
          <w:sz w:val="24"/>
          <w:szCs w:val="24"/>
        </w:rPr>
        <w:t xml:space="preserve">potwierdza zgodność oświadczeń i danych zawartych we wniosku </w:t>
      </w:r>
      <w:r w:rsidR="00D31C6B">
        <w:rPr>
          <w:rFonts w:ascii="Times New Roman" w:eastAsia="Calibri" w:hAnsi="Times New Roman" w:cs="Times New Roman"/>
          <w:bCs/>
          <w:sz w:val="24"/>
          <w:szCs w:val="24"/>
        </w:rPr>
        <w:t>o powierzenie grantu</w:t>
      </w:r>
      <w:r w:rsidRPr="007152DD">
        <w:rPr>
          <w:rFonts w:ascii="Times New Roman" w:eastAsia="Calibri" w:hAnsi="Times New Roman" w:cs="Times New Roman"/>
          <w:bCs/>
          <w:sz w:val="24"/>
          <w:szCs w:val="24"/>
        </w:rPr>
        <w:t xml:space="preserve"> i jego załącznikach ze stanem faktycznym i prawnym. </w:t>
      </w:r>
    </w:p>
    <w:p w14:paraId="189FA8B2" w14:textId="77777777" w:rsidR="00F42F9D" w:rsidRPr="00CC7265" w:rsidRDefault="004C4244" w:rsidP="00223CAE">
      <w:pPr>
        <w:numPr>
          <w:ilvl w:val="0"/>
          <w:numId w:val="4"/>
        </w:numPr>
        <w:spacing w:after="120"/>
        <w:ind w:left="426" w:hanging="426"/>
        <w:jc w:val="both"/>
        <w:rPr>
          <w:rFonts w:ascii="Times New Roman" w:hAnsi="Times New Roman" w:cs="Times New Roman"/>
          <w:sz w:val="24"/>
          <w:szCs w:val="24"/>
        </w:rPr>
      </w:pPr>
      <w:r w:rsidRPr="00A72742">
        <w:rPr>
          <w:rFonts w:ascii="Times New Roman" w:hAnsi="Times New Roman" w:cs="Times New Roman"/>
          <w:sz w:val="24"/>
          <w:szCs w:val="24"/>
        </w:rPr>
        <w:t xml:space="preserve">Informacja o dokonaniu formalnego potwierdzenia złożenia wniosku </w:t>
      </w:r>
      <w:r w:rsidR="00D31C6B">
        <w:rPr>
          <w:rFonts w:ascii="Times New Roman" w:hAnsi="Times New Roman" w:cs="Times New Roman"/>
          <w:sz w:val="24"/>
          <w:szCs w:val="24"/>
        </w:rPr>
        <w:t>o powierzenie grantu</w:t>
      </w:r>
      <w:r w:rsidRPr="00A72742">
        <w:rPr>
          <w:rFonts w:ascii="Times New Roman" w:hAnsi="Times New Roman" w:cs="Times New Roman"/>
          <w:sz w:val="24"/>
          <w:szCs w:val="24"/>
        </w:rPr>
        <w:t xml:space="preserve">, o którym mowa w ust. </w:t>
      </w:r>
      <w:r w:rsidR="00E23E65">
        <w:rPr>
          <w:rFonts w:ascii="Times New Roman" w:hAnsi="Times New Roman" w:cs="Times New Roman"/>
          <w:sz w:val="24"/>
          <w:szCs w:val="24"/>
        </w:rPr>
        <w:t>9</w:t>
      </w:r>
      <w:r w:rsidRPr="00A72742">
        <w:rPr>
          <w:rFonts w:ascii="Times New Roman" w:hAnsi="Times New Roman" w:cs="Times New Roman"/>
          <w:sz w:val="24"/>
          <w:szCs w:val="24"/>
        </w:rPr>
        <w:t>, będzie</w:t>
      </w:r>
      <w:r w:rsidRPr="00CC7265">
        <w:rPr>
          <w:rFonts w:ascii="Times New Roman" w:hAnsi="Times New Roman" w:cs="Times New Roman"/>
          <w:sz w:val="24"/>
          <w:szCs w:val="24"/>
        </w:rPr>
        <w:t xml:space="preserve"> dostępna dla </w:t>
      </w:r>
      <w:r w:rsidR="0047503E">
        <w:rPr>
          <w:rFonts w:ascii="Times New Roman" w:hAnsi="Times New Roman" w:cs="Times New Roman"/>
          <w:sz w:val="24"/>
          <w:szCs w:val="24"/>
        </w:rPr>
        <w:t>wnioskodawcy</w:t>
      </w:r>
      <w:r w:rsidR="0047503E" w:rsidRPr="00CC7265">
        <w:rPr>
          <w:rFonts w:ascii="Times New Roman" w:hAnsi="Times New Roman" w:cs="Times New Roman"/>
          <w:sz w:val="24"/>
          <w:szCs w:val="24"/>
        </w:rPr>
        <w:t xml:space="preserve"> </w:t>
      </w:r>
      <w:r w:rsidRPr="00CC7265">
        <w:rPr>
          <w:rFonts w:ascii="Times New Roman" w:hAnsi="Times New Roman" w:cs="Times New Roman"/>
          <w:sz w:val="24"/>
          <w:szCs w:val="24"/>
        </w:rPr>
        <w:t>za pośrednictwem Generatora Wniosków.</w:t>
      </w:r>
    </w:p>
    <w:p w14:paraId="401769B7" w14:textId="1C671048" w:rsidR="00327CEE" w:rsidRPr="00A72742" w:rsidRDefault="0047503E" w:rsidP="00223CAE">
      <w:pPr>
        <w:numPr>
          <w:ilvl w:val="0"/>
          <w:numId w:val="4"/>
        </w:numPr>
        <w:spacing w:after="120"/>
        <w:ind w:left="426" w:hanging="426"/>
        <w:jc w:val="both"/>
        <w:rPr>
          <w:rFonts w:ascii="Times New Roman" w:hAnsi="Times New Roman" w:cs="Times New Roman"/>
          <w:sz w:val="24"/>
          <w:szCs w:val="24"/>
        </w:rPr>
      </w:pPr>
      <w:r>
        <w:rPr>
          <w:rFonts w:ascii="Times New Roman" w:hAnsi="Times New Roman" w:cs="Times New Roman"/>
          <w:sz w:val="24"/>
          <w:szCs w:val="24"/>
        </w:rPr>
        <w:t>Wnioskodawca</w:t>
      </w:r>
      <w:r w:rsidRPr="00A72742">
        <w:rPr>
          <w:rFonts w:ascii="Times New Roman" w:hAnsi="Times New Roman" w:cs="Times New Roman"/>
          <w:sz w:val="24"/>
          <w:szCs w:val="24"/>
        </w:rPr>
        <w:t xml:space="preserve"> </w:t>
      </w:r>
      <w:r w:rsidR="004C4244" w:rsidRPr="00A72742">
        <w:rPr>
          <w:rFonts w:ascii="Times New Roman" w:hAnsi="Times New Roman" w:cs="Times New Roman"/>
          <w:sz w:val="24"/>
          <w:szCs w:val="24"/>
        </w:rPr>
        <w:t>dołącza w Generatorze Wniosków wersje elektroniczne załączników</w:t>
      </w:r>
      <w:r w:rsidR="00D710E1">
        <w:rPr>
          <w:rFonts w:ascii="Times New Roman" w:hAnsi="Times New Roman" w:cs="Times New Roman"/>
          <w:sz w:val="24"/>
          <w:szCs w:val="24"/>
        </w:rPr>
        <w:t xml:space="preserve"> do </w:t>
      </w:r>
      <w:r w:rsidR="00D710E1" w:rsidRPr="00A72742">
        <w:rPr>
          <w:rFonts w:ascii="Times New Roman" w:hAnsi="Times New Roman" w:cs="Times New Roman"/>
          <w:sz w:val="24"/>
          <w:szCs w:val="24"/>
        </w:rPr>
        <w:t xml:space="preserve">wniosku </w:t>
      </w:r>
      <w:r w:rsidR="00D710E1">
        <w:rPr>
          <w:rFonts w:ascii="Times New Roman" w:hAnsi="Times New Roman" w:cs="Times New Roman"/>
          <w:sz w:val="24"/>
          <w:szCs w:val="24"/>
        </w:rPr>
        <w:t>o powierzenie grantu</w:t>
      </w:r>
      <w:r w:rsidR="004C4244" w:rsidRPr="00A72742">
        <w:rPr>
          <w:rFonts w:ascii="Times New Roman" w:hAnsi="Times New Roman" w:cs="Times New Roman"/>
          <w:sz w:val="24"/>
          <w:szCs w:val="24"/>
        </w:rPr>
        <w:t xml:space="preserve"> (dopuszczalne formaty: PDF, TIFF lub JPG</w:t>
      </w:r>
      <w:r w:rsidR="00DD39CD" w:rsidRPr="00A72742">
        <w:rPr>
          <w:rFonts w:ascii="Times New Roman" w:hAnsi="Times New Roman" w:cs="Times New Roman"/>
          <w:sz w:val="24"/>
          <w:szCs w:val="24"/>
        </w:rPr>
        <w:t>; w</w:t>
      </w:r>
      <w:r w:rsidR="004C4244" w:rsidRPr="00A72742">
        <w:rPr>
          <w:rFonts w:ascii="Times New Roman" w:hAnsi="Times New Roman" w:cs="Times New Roman"/>
          <w:sz w:val="24"/>
          <w:szCs w:val="24"/>
        </w:rPr>
        <w:t>ielkość pojedynczego załącznika nie powinna przekraczać 4 MB</w:t>
      </w:r>
      <w:r w:rsidR="00D710E1">
        <w:rPr>
          <w:rFonts w:ascii="Times New Roman" w:hAnsi="Times New Roman" w:cs="Times New Roman"/>
          <w:sz w:val="24"/>
          <w:szCs w:val="24"/>
        </w:rPr>
        <w:t>)</w:t>
      </w:r>
      <w:r w:rsidR="00F42F9D" w:rsidRPr="00A72742">
        <w:rPr>
          <w:rFonts w:ascii="Times New Roman" w:hAnsi="Times New Roman" w:cs="Times New Roman"/>
          <w:sz w:val="24"/>
          <w:szCs w:val="24"/>
        </w:rPr>
        <w:t xml:space="preserve">. </w:t>
      </w:r>
      <w:r w:rsidR="00327CEE" w:rsidRPr="00A72742">
        <w:rPr>
          <w:rFonts w:ascii="Times New Roman" w:hAnsi="Times New Roman" w:cs="Times New Roman"/>
          <w:sz w:val="24"/>
          <w:szCs w:val="24"/>
        </w:rPr>
        <w:t>Załączniki stanowią integralną część wniosku</w:t>
      </w:r>
      <w:r w:rsidR="00D710E1" w:rsidRPr="00D710E1">
        <w:rPr>
          <w:rFonts w:ascii="Times New Roman" w:hAnsi="Times New Roman" w:cs="Times New Roman"/>
          <w:sz w:val="24"/>
          <w:szCs w:val="24"/>
        </w:rPr>
        <w:t xml:space="preserve"> </w:t>
      </w:r>
      <w:r w:rsidR="00D710E1">
        <w:rPr>
          <w:rFonts w:ascii="Times New Roman" w:hAnsi="Times New Roman" w:cs="Times New Roman"/>
          <w:sz w:val="24"/>
          <w:szCs w:val="24"/>
        </w:rPr>
        <w:t>o powierzenie grantu</w:t>
      </w:r>
      <w:r w:rsidR="00327CEE" w:rsidRPr="00A72742">
        <w:rPr>
          <w:rFonts w:ascii="Times New Roman" w:hAnsi="Times New Roman" w:cs="Times New Roman"/>
          <w:sz w:val="24"/>
          <w:szCs w:val="24"/>
        </w:rPr>
        <w:t>.</w:t>
      </w:r>
    </w:p>
    <w:p w14:paraId="5D3F5C08" w14:textId="046E7CFC" w:rsidR="00D42800" w:rsidRPr="00CC7265" w:rsidRDefault="004C4244" w:rsidP="00223CAE">
      <w:pPr>
        <w:numPr>
          <w:ilvl w:val="0"/>
          <w:numId w:val="4"/>
        </w:numPr>
        <w:spacing w:after="120"/>
        <w:ind w:left="426" w:hanging="426"/>
        <w:jc w:val="both"/>
        <w:rPr>
          <w:rFonts w:ascii="Times New Roman" w:hAnsi="Times New Roman" w:cs="Times New Roman"/>
          <w:sz w:val="24"/>
          <w:szCs w:val="24"/>
        </w:rPr>
      </w:pPr>
      <w:r w:rsidRPr="00CC7265">
        <w:rPr>
          <w:rFonts w:ascii="Times New Roman" w:hAnsi="Times New Roman" w:cs="Times New Roman"/>
          <w:sz w:val="24"/>
          <w:szCs w:val="24"/>
        </w:rPr>
        <w:t xml:space="preserve">W przypadku zidentyfikowanych przez </w:t>
      </w:r>
      <w:r w:rsidR="0047503E">
        <w:rPr>
          <w:rFonts w:ascii="Times New Roman" w:hAnsi="Times New Roman" w:cs="Times New Roman"/>
          <w:sz w:val="24"/>
          <w:szCs w:val="24"/>
        </w:rPr>
        <w:t>wnioskodawcę</w:t>
      </w:r>
      <w:r w:rsidR="0047503E" w:rsidRPr="00CC7265">
        <w:rPr>
          <w:rFonts w:ascii="Times New Roman" w:hAnsi="Times New Roman" w:cs="Times New Roman"/>
          <w:sz w:val="24"/>
          <w:szCs w:val="24"/>
        </w:rPr>
        <w:t xml:space="preserve"> </w:t>
      </w:r>
      <w:r w:rsidRPr="00CC7265">
        <w:rPr>
          <w:rFonts w:ascii="Times New Roman" w:hAnsi="Times New Roman" w:cs="Times New Roman"/>
          <w:sz w:val="24"/>
          <w:szCs w:val="24"/>
        </w:rPr>
        <w:t>problemów z dołącz</w:t>
      </w:r>
      <w:r w:rsidR="00F42F9D" w:rsidRPr="00CC7265">
        <w:rPr>
          <w:rFonts w:ascii="Times New Roman" w:hAnsi="Times New Roman" w:cs="Times New Roman"/>
          <w:sz w:val="24"/>
          <w:szCs w:val="24"/>
        </w:rPr>
        <w:t>e</w:t>
      </w:r>
      <w:r w:rsidRPr="00CC7265">
        <w:rPr>
          <w:rFonts w:ascii="Times New Roman" w:hAnsi="Times New Roman" w:cs="Times New Roman"/>
          <w:sz w:val="24"/>
          <w:szCs w:val="24"/>
        </w:rPr>
        <w:t>niem załączników w</w:t>
      </w:r>
      <w:r w:rsidR="00D12846">
        <w:rPr>
          <w:rFonts w:ascii="Times New Roman" w:hAnsi="Times New Roman" w:cs="Times New Roman"/>
          <w:sz w:val="24"/>
          <w:szCs w:val="24"/>
        </w:rPr>
        <w:t xml:space="preserve"> GW</w:t>
      </w:r>
      <w:r w:rsidRPr="00CC7265">
        <w:rPr>
          <w:rFonts w:ascii="Times New Roman" w:hAnsi="Times New Roman" w:cs="Times New Roman"/>
          <w:sz w:val="24"/>
          <w:szCs w:val="24"/>
        </w:rPr>
        <w:t xml:space="preserve">, </w:t>
      </w:r>
      <w:r w:rsidR="0047503E">
        <w:rPr>
          <w:rFonts w:ascii="Times New Roman" w:hAnsi="Times New Roman" w:cs="Times New Roman"/>
          <w:sz w:val="24"/>
          <w:szCs w:val="24"/>
        </w:rPr>
        <w:t>wnioskodawca</w:t>
      </w:r>
      <w:r w:rsidR="0047503E" w:rsidRPr="00CC7265">
        <w:rPr>
          <w:rFonts w:ascii="Times New Roman" w:hAnsi="Times New Roman" w:cs="Times New Roman"/>
          <w:sz w:val="24"/>
          <w:szCs w:val="24"/>
        </w:rPr>
        <w:t xml:space="preserve"> </w:t>
      </w:r>
      <w:r w:rsidRPr="00CC7265">
        <w:rPr>
          <w:rFonts w:ascii="Times New Roman" w:hAnsi="Times New Roman" w:cs="Times New Roman"/>
          <w:sz w:val="24"/>
          <w:szCs w:val="24"/>
        </w:rPr>
        <w:t xml:space="preserve">powinien dokonać zgłoszenia problemów za pomocą dedykowanego formularza, o którym mowa </w:t>
      </w:r>
      <w:r w:rsidRPr="00A72742">
        <w:rPr>
          <w:rFonts w:ascii="Times New Roman" w:hAnsi="Times New Roman" w:cs="Times New Roman"/>
          <w:sz w:val="24"/>
          <w:szCs w:val="24"/>
        </w:rPr>
        <w:t xml:space="preserve">w </w:t>
      </w:r>
      <w:r w:rsidR="00A72742" w:rsidRPr="00A72742">
        <w:rPr>
          <w:rFonts w:ascii="Times New Roman" w:hAnsi="Times New Roman" w:cs="Times New Roman"/>
          <w:sz w:val="24"/>
          <w:szCs w:val="24"/>
        </w:rPr>
        <w:t xml:space="preserve">ust. </w:t>
      </w:r>
      <w:r w:rsidR="00E23E65" w:rsidRPr="00A72742">
        <w:rPr>
          <w:rFonts w:ascii="Times New Roman" w:hAnsi="Times New Roman" w:cs="Times New Roman"/>
          <w:sz w:val="24"/>
          <w:szCs w:val="24"/>
        </w:rPr>
        <w:t>1</w:t>
      </w:r>
      <w:r w:rsidR="00E23E65">
        <w:rPr>
          <w:rFonts w:ascii="Times New Roman" w:hAnsi="Times New Roman" w:cs="Times New Roman"/>
          <w:sz w:val="24"/>
          <w:szCs w:val="24"/>
        </w:rPr>
        <w:t>6</w:t>
      </w:r>
      <w:r w:rsidRPr="00A72742">
        <w:rPr>
          <w:rFonts w:ascii="Times New Roman" w:hAnsi="Times New Roman" w:cs="Times New Roman"/>
          <w:sz w:val="24"/>
          <w:szCs w:val="24"/>
        </w:rPr>
        <w:t>,</w:t>
      </w:r>
      <w:r w:rsidRPr="00CC7265">
        <w:rPr>
          <w:rFonts w:ascii="Times New Roman" w:hAnsi="Times New Roman" w:cs="Times New Roman"/>
          <w:sz w:val="24"/>
          <w:szCs w:val="24"/>
        </w:rPr>
        <w:t xml:space="preserve"> dostępnego </w:t>
      </w:r>
      <w:r w:rsidR="003A1987" w:rsidRPr="00CC7265">
        <w:rPr>
          <w:rFonts w:ascii="Times New Roman" w:hAnsi="Times New Roman" w:cs="Times New Roman"/>
          <w:sz w:val="24"/>
          <w:szCs w:val="24"/>
        </w:rPr>
        <w:t xml:space="preserve"> </w:t>
      </w:r>
      <w:r w:rsidRPr="00CC7265">
        <w:rPr>
          <w:rFonts w:ascii="Times New Roman" w:hAnsi="Times New Roman" w:cs="Times New Roman"/>
          <w:sz w:val="24"/>
          <w:szCs w:val="24"/>
        </w:rPr>
        <w:t xml:space="preserve">w Generatorze Wniosków. </w:t>
      </w:r>
      <w:r w:rsidR="00666DE0">
        <w:rPr>
          <w:rFonts w:ascii="Times New Roman" w:hAnsi="Times New Roman" w:cs="Times New Roman"/>
          <w:sz w:val="24"/>
          <w:szCs w:val="24"/>
        </w:rPr>
        <w:t>PARP</w:t>
      </w:r>
      <w:r w:rsidRPr="00CC7265">
        <w:rPr>
          <w:rFonts w:ascii="Times New Roman" w:hAnsi="Times New Roman" w:cs="Times New Roman"/>
          <w:sz w:val="24"/>
          <w:szCs w:val="24"/>
        </w:rPr>
        <w:t>, uwzględniając zgłoszenie</w:t>
      </w:r>
      <w:r w:rsidR="00F42F9D" w:rsidRPr="00CC7265">
        <w:rPr>
          <w:rFonts w:ascii="Times New Roman" w:hAnsi="Times New Roman" w:cs="Times New Roman"/>
          <w:sz w:val="24"/>
          <w:szCs w:val="24"/>
        </w:rPr>
        <w:t>,</w:t>
      </w:r>
      <w:r w:rsidRPr="00CC7265">
        <w:rPr>
          <w:rFonts w:ascii="Times New Roman" w:hAnsi="Times New Roman" w:cs="Times New Roman"/>
          <w:sz w:val="24"/>
          <w:szCs w:val="24"/>
        </w:rPr>
        <w:t xml:space="preserve"> może wskazać jako uprawnioną formę złożenia załączników formę papierową lub formę elektroniczną na nośniku danych (np. CD, DVD). Informacja w tym zakresie jest kierowana do </w:t>
      </w:r>
      <w:r w:rsidR="0047503E">
        <w:rPr>
          <w:rFonts w:ascii="Times New Roman" w:hAnsi="Times New Roman" w:cs="Times New Roman"/>
          <w:sz w:val="24"/>
          <w:szCs w:val="24"/>
        </w:rPr>
        <w:t>wnioskodawcy</w:t>
      </w:r>
      <w:r w:rsidR="0047503E" w:rsidRPr="00CC7265">
        <w:rPr>
          <w:rFonts w:ascii="Times New Roman" w:hAnsi="Times New Roman" w:cs="Times New Roman"/>
          <w:sz w:val="24"/>
          <w:szCs w:val="24"/>
        </w:rPr>
        <w:t xml:space="preserve"> </w:t>
      </w:r>
      <w:r w:rsidRPr="00CC7265">
        <w:rPr>
          <w:rFonts w:ascii="Times New Roman" w:hAnsi="Times New Roman" w:cs="Times New Roman"/>
          <w:sz w:val="24"/>
          <w:szCs w:val="24"/>
        </w:rPr>
        <w:t>na adres poczty elektronicznej wskazany przez wnioskodawcę w</w:t>
      </w:r>
      <w:r w:rsidR="00BA6D2A" w:rsidRPr="00CC7265">
        <w:rPr>
          <w:rFonts w:ascii="Times New Roman" w:hAnsi="Times New Roman" w:cs="Times New Roman"/>
          <w:sz w:val="24"/>
          <w:szCs w:val="24"/>
        </w:rPr>
        <w:t> </w:t>
      </w:r>
      <w:r w:rsidRPr="00CC7265">
        <w:rPr>
          <w:rFonts w:ascii="Times New Roman" w:hAnsi="Times New Roman" w:cs="Times New Roman"/>
          <w:sz w:val="24"/>
          <w:szCs w:val="24"/>
        </w:rPr>
        <w:t>zgłoszeniu.</w:t>
      </w:r>
    </w:p>
    <w:p w14:paraId="62BA94D7" w14:textId="660C7676" w:rsidR="004C4244" w:rsidRPr="00A72742" w:rsidRDefault="004C4244" w:rsidP="00223CAE">
      <w:pPr>
        <w:numPr>
          <w:ilvl w:val="0"/>
          <w:numId w:val="4"/>
        </w:numPr>
        <w:spacing w:after="120"/>
        <w:ind w:left="426" w:hanging="426"/>
        <w:jc w:val="both"/>
        <w:rPr>
          <w:rFonts w:ascii="Times New Roman" w:eastAsia="Calibri" w:hAnsi="Times New Roman" w:cs="Times New Roman"/>
          <w:bCs/>
          <w:sz w:val="24"/>
          <w:szCs w:val="24"/>
        </w:rPr>
      </w:pPr>
      <w:r w:rsidRPr="00CC7265">
        <w:rPr>
          <w:rFonts w:ascii="Times New Roman" w:eastAsia="Calibri" w:hAnsi="Times New Roman" w:cs="Times New Roman"/>
          <w:bCs/>
          <w:sz w:val="24"/>
          <w:szCs w:val="24"/>
        </w:rPr>
        <w:t xml:space="preserve">W przypadku stwierdzenia błędów związanych z funkcjonowaniem Generatora Wniosków, </w:t>
      </w:r>
      <w:r w:rsidR="0047503E">
        <w:rPr>
          <w:rFonts w:ascii="Times New Roman" w:eastAsia="Calibri" w:hAnsi="Times New Roman" w:cs="Times New Roman"/>
          <w:bCs/>
          <w:sz w:val="24"/>
          <w:szCs w:val="24"/>
        </w:rPr>
        <w:t>wnioskodawca</w:t>
      </w:r>
      <w:r w:rsidR="0047503E" w:rsidRPr="00CC7265">
        <w:rPr>
          <w:rFonts w:ascii="Times New Roman" w:eastAsia="Calibri" w:hAnsi="Times New Roman" w:cs="Times New Roman"/>
          <w:bCs/>
          <w:sz w:val="24"/>
          <w:szCs w:val="24"/>
        </w:rPr>
        <w:t xml:space="preserve"> </w:t>
      </w:r>
      <w:r w:rsidRPr="00CC7265">
        <w:rPr>
          <w:rFonts w:ascii="Times New Roman" w:eastAsia="Calibri" w:hAnsi="Times New Roman" w:cs="Times New Roman"/>
          <w:bCs/>
          <w:sz w:val="24"/>
          <w:szCs w:val="24"/>
        </w:rPr>
        <w:t xml:space="preserve">ma możliwość zgłaszania błędów wyłącznie za pomocą dedykowanego formularza dostępnego w Generatorze Wniosków, pod rygorem </w:t>
      </w:r>
      <w:r w:rsidRPr="00A72742">
        <w:rPr>
          <w:rFonts w:ascii="Times New Roman" w:eastAsia="Calibri" w:hAnsi="Times New Roman" w:cs="Times New Roman"/>
          <w:bCs/>
          <w:sz w:val="24"/>
          <w:szCs w:val="24"/>
        </w:rPr>
        <w:t>pozostawienia zgłoszenia bez rozpatrzenia</w:t>
      </w:r>
      <w:r w:rsidR="00076852">
        <w:rPr>
          <w:rFonts w:ascii="Times New Roman" w:eastAsia="Calibri" w:hAnsi="Times New Roman" w:cs="Times New Roman"/>
          <w:bCs/>
          <w:sz w:val="24"/>
          <w:szCs w:val="24"/>
        </w:rPr>
        <w:t xml:space="preserve"> z zastrzeżeniem ust. 17</w:t>
      </w:r>
      <w:r w:rsidRPr="00A72742">
        <w:rPr>
          <w:rFonts w:ascii="Times New Roman" w:eastAsia="Calibri" w:hAnsi="Times New Roman" w:cs="Times New Roman"/>
          <w:bCs/>
          <w:sz w:val="24"/>
          <w:szCs w:val="24"/>
        </w:rPr>
        <w:t>.</w:t>
      </w:r>
    </w:p>
    <w:p w14:paraId="2AECF890" w14:textId="77777777" w:rsidR="004C4244" w:rsidRPr="00A72742" w:rsidRDefault="004C4244" w:rsidP="00223CAE">
      <w:pPr>
        <w:numPr>
          <w:ilvl w:val="0"/>
          <w:numId w:val="4"/>
        </w:numPr>
        <w:spacing w:after="120"/>
        <w:ind w:left="426" w:hanging="426"/>
        <w:jc w:val="both"/>
        <w:rPr>
          <w:rFonts w:ascii="Times New Roman" w:eastAsia="Calibri" w:hAnsi="Times New Roman" w:cs="Times New Roman"/>
          <w:bCs/>
          <w:sz w:val="24"/>
          <w:szCs w:val="24"/>
        </w:rPr>
      </w:pPr>
      <w:r w:rsidRPr="00A72742">
        <w:rPr>
          <w:rFonts w:ascii="Times New Roman" w:eastAsia="Calibri" w:hAnsi="Times New Roman" w:cs="Times New Roman"/>
          <w:bCs/>
          <w:sz w:val="24"/>
          <w:szCs w:val="24"/>
        </w:rPr>
        <w:t xml:space="preserve">Inna, niż określona w </w:t>
      </w:r>
      <w:r w:rsidR="00A72742" w:rsidRPr="00A72742">
        <w:rPr>
          <w:rFonts w:ascii="Times New Roman" w:eastAsia="Calibri" w:hAnsi="Times New Roman" w:cs="Times New Roman"/>
          <w:bCs/>
          <w:sz w:val="24"/>
          <w:szCs w:val="24"/>
        </w:rPr>
        <w:t xml:space="preserve">ust. </w:t>
      </w:r>
      <w:r w:rsidR="00E23E65" w:rsidRPr="00A72742">
        <w:rPr>
          <w:rFonts w:ascii="Times New Roman" w:eastAsia="Calibri" w:hAnsi="Times New Roman" w:cs="Times New Roman"/>
          <w:bCs/>
          <w:sz w:val="24"/>
          <w:szCs w:val="24"/>
        </w:rPr>
        <w:t>1</w:t>
      </w:r>
      <w:r w:rsidR="00E23E65">
        <w:rPr>
          <w:rFonts w:ascii="Times New Roman" w:eastAsia="Calibri" w:hAnsi="Times New Roman" w:cs="Times New Roman"/>
          <w:bCs/>
          <w:sz w:val="24"/>
          <w:szCs w:val="24"/>
        </w:rPr>
        <w:t>6</w:t>
      </w:r>
      <w:r w:rsidR="00E23E65" w:rsidRPr="00A72742">
        <w:rPr>
          <w:rFonts w:ascii="Times New Roman" w:eastAsia="Calibri" w:hAnsi="Times New Roman" w:cs="Times New Roman"/>
          <w:bCs/>
          <w:sz w:val="24"/>
          <w:szCs w:val="24"/>
        </w:rPr>
        <w:t xml:space="preserve"> </w:t>
      </w:r>
      <w:r w:rsidRPr="00A72742">
        <w:rPr>
          <w:rFonts w:ascii="Times New Roman" w:eastAsia="Calibri" w:hAnsi="Times New Roman" w:cs="Times New Roman"/>
          <w:bCs/>
          <w:sz w:val="24"/>
          <w:szCs w:val="24"/>
        </w:rPr>
        <w:t>forma zgłaszania błędów, jest dopuszczalna jedynie w przypadku awarii formularza.</w:t>
      </w:r>
    </w:p>
    <w:p w14:paraId="60087AD6" w14:textId="7937A0D9" w:rsidR="004C4244" w:rsidRPr="00A72742" w:rsidRDefault="004C4244" w:rsidP="00223CAE">
      <w:pPr>
        <w:numPr>
          <w:ilvl w:val="0"/>
          <w:numId w:val="4"/>
        </w:numPr>
        <w:spacing w:after="120"/>
        <w:ind w:left="426" w:hanging="426"/>
        <w:jc w:val="both"/>
        <w:rPr>
          <w:rFonts w:ascii="Times New Roman" w:hAnsi="Times New Roman" w:cs="Times New Roman"/>
          <w:sz w:val="24"/>
          <w:szCs w:val="24"/>
        </w:rPr>
      </w:pPr>
      <w:r w:rsidRPr="00A72742">
        <w:rPr>
          <w:rFonts w:ascii="Times New Roman" w:eastAsia="Calibri" w:hAnsi="Times New Roman" w:cs="Times New Roman"/>
          <w:bCs/>
          <w:sz w:val="24"/>
          <w:szCs w:val="24"/>
        </w:rPr>
        <w:lastRenderedPageBreak/>
        <w:t xml:space="preserve">W celu ustalenia sposobu zgłaszania błędów, w przypadku awarii formularza, o którym mowa w ust. </w:t>
      </w:r>
      <w:r w:rsidR="00E23E65" w:rsidRPr="00A72742">
        <w:rPr>
          <w:rFonts w:ascii="Times New Roman" w:eastAsia="Calibri" w:hAnsi="Times New Roman" w:cs="Times New Roman"/>
          <w:bCs/>
          <w:sz w:val="24"/>
          <w:szCs w:val="24"/>
        </w:rPr>
        <w:t>1</w:t>
      </w:r>
      <w:r w:rsidR="00E23E65">
        <w:rPr>
          <w:rFonts w:ascii="Times New Roman" w:eastAsia="Calibri" w:hAnsi="Times New Roman" w:cs="Times New Roman"/>
          <w:bCs/>
          <w:sz w:val="24"/>
          <w:szCs w:val="24"/>
        </w:rPr>
        <w:t>6</w:t>
      </w:r>
      <w:r w:rsidR="00F42F9D" w:rsidRPr="00A72742">
        <w:rPr>
          <w:rFonts w:ascii="Times New Roman" w:eastAsia="Calibri" w:hAnsi="Times New Roman" w:cs="Times New Roman"/>
          <w:bCs/>
          <w:sz w:val="24"/>
          <w:szCs w:val="24"/>
        </w:rPr>
        <w:t>,</w:t>
      </w:r>
      <w:r w:rsidRPr="00A72742">
        <w:rPr>
          <w:rFonts w:ascii="Times New Roman" w:eastAsia="Calibri" w:hAnsi="Times New Roman" w:cs="Times New Roman"/>
          <w:bCs/>
          <w:sz w:val="24"/>
          <w:szCs w:val="24"/>
        </w:rPr>
        <w:t xml:space="preserve"> </w:t>
      </w:r>
      <w:r w:rsidR="0047503E">
        <w:rPr>
          <w:rFonts w:ascii="Times New Roman" w:eastAsia="Calibri" w:hAnsi="Times New Roman" w:cs="Times New Roman"/>
          <w:bCs/>
          <w:sz w:val="24"/>
          <w:szCs w:val="24"/>
        </w:rPr>
        <w:t>wnioskodawca</w:t>
      </w:r>
      <w:r w:rsidR="0047503E" w:rsidRPr="00A72742">
        <w:rPr>
          <w:rFonts w:ascii="Times New Roman" w:eastAsia="Calibri" w:hAnsi="Times New Roman" w:cs="Times New Roman"/>
          <w:bCs/>
          <w:sz w:val="24"/>
          <w:szCs w:val="24"/>
        </w:rPr>
        <w:t xml:space="preserve"> </w:t>
      </w:r>
      <w:r w:rsidRPr="00A72742">
        <w:rPr>
          <w:rFonts w:ascii="Times New Roman" w:eastAsia="Calibri" w:hAnsi="Times New Roman" w:cs="Times New Roman"/>
          <w:bCs/>
          <w:sz w:val="24"/>
          <w:szCs w:val="24"/>
        </w:rPr>
        <w:t xml:space="preserve">jest zobowiązany skontaktować się z </w:t>
      </w:r>
      <w:r w:rsidR="00666DE0">
        <w:rPr>
          <w:rFonts w:ascii="Times New Roman" w:eastAsia="Calibri" w:hAnsi="Times New Roman" w:cs="Times New Roman"/>
          <w:bCs/>
          <w:sz w:val="24"/>
          <w:szCs w:val="24"/>
        </w:rPr>
        <w:t>PARP</w:t>
      </w:r>
      <w:r w:rsidR="00666DE0" w:rsidRPr="00A72742">
        <w:rPr>
          <w:rFonts w:ascii="Times New Roman" w:eastAsia="Calibri" w:hAnsi="Times New Roman" w:cs="Times New Roman"/>
          <w:bCs/>
          <w:sz w:val="24"/>
          <w:szCs w:val="24"/>
        </w:rPr>
        <w:t xml:space="preserve"> </w:t>
      </w:r>
      <w:r w:rsidRPr="00A72742">
        <w:rPr>
          <w:rFonts w:ascii="Times New Roman" w:eastAsia="Calibri" w:hAnsi="Times New Roman" w:cs="Times New Roman"/>
          <w:bCs/>
          <w:sz w:val="24"/>
          <w:szCs w:val="24"/>
        </w:rPr>
        <w:t xml:space="preserve">za pośrednictwem formularza kontaktowego zamieszczonego </w:t>
      </w:r>
      <w:r w:rsidRPr="00A72742">
        <w:rPr>
          <w:rFonts w:ascii="Times New Roman" w:hAnsi="Times New Roman" w:cs="Times New Roman"/>
          <w:sz w:val="24"/>
          <w:szCs w:val="24"/>
        </w:rPr>
        <w:t xml:space="preserve">na </w:t>
      </w:r>
      <w:r w:rsidR="00F00959">
        <w:rPr>
          <w:rFonts w:ascii="Times New Roman" w:eastAsia="Calibri" w:hAnsi="Times New Roman" w:cs="Times New Roman"/>
          <w:bCs/>
          <w:sz w:val="24"/>
          <w:szCs w:val="24"/>
        </w:rPr>
        <w:t xml:space="preserve"> stronie </w:t>
      </w:r>
      <w:r w:rsidR="00AF3705">
        <w:rPr>
          <w:rFonts w:ascii="Times New Roman" w:eastAsia="Calibri" w:hAnsi="Times New Roman" w:cs="Times New Roman"/>
          <w:bCs/>
          <w:sz w:val="24"/>
          <w:szCs w:val="24"/>
        </w:rPr>
        <w:t>p</w:t>
      </w:r>
      <w:r w:rsidR="00F00959">
        <w:rPr>
          <w:rFonts w:ascii="Times New Roman" w:eastAsia="Calibri" w:hAnsi="Times New Roman" w:cs="Times New Roman"/>
          <w:bCs/>
          <w:sz w:val="24"/>
          <w:szCs w:val="24"/>
        </w:rPr>
        <w:t>ilotażu</w:t>
      </w:r>
      <w:r w:rsidRPr="00A72742">
        <w:rPr>
          <w:rFonts w:ascii="Times New Roman" w:hAnsi="Times New Roman" w:cs="Times New Roman"/>
          <w:sz w:val="24"/>
          <w:szCs w:val="24"/>
        </w:rPr>
        <w:t>.</w:t>
      </w:r>
    </w:p>
    <w:p w14:paraId="405D4B5E" w14:textId="539993D7" w:rsidR="004C4244" w:rsidRPr="00CC7265" w:rsidRDefault="00666DE0" w:rsidP="00223CAE">
      <w:pPr>
        <w:numPr>
          <w:ilvl w:val="0"/>
          <w:numId w:val="4"/>
        </w:numPr>
        <w:spacing w:after="120"/>
        <w:ind w:left="426" w:hanging="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PARP</w:t>
      </w:r>
      <w:r w:rsidRPr="00CC7265">
        <w:rPr>
          <w:rFonts w:ascii="Times New Roman" w:eastAsia="Calibri" w:hAnsi="Times New Roman" w:cs="Times New Roman"/>
          <w:bCs/>
          <w:sz w:val="24"/>
          <w:szCs w:val="24"/>
        </w:rPr>
        <w:t xml:space="preserve"> </w:t>
      </w:r>
      <w:r w:rsidR="004C4244" w:rsidRPr="00CC7265">
        <w:rPr>
          <w:rFonts w:ascii="Times New Roman" w:eastAsia="Calibri" w:hAnsi="Times New Roman" w:cs="Times New Roman"/>
          <w:bCs/>
          <w:sz w:val="24"/>
          <w:szCs w:val="24"/>
        </w:rPr>
        <w:t xml:space="preserve">kieruje całość korespondencji dotyczącej przyjętego zgłoszenia błędu, w tym wynik rozpatrzenia zgłoszenia błędu, na adres poczty elektronicznej wskazany przez </w:t>
      </w:r>
      <w:r w:rsidR="0047503E">
        <w:rPr>
          <w:rFonts w:ascii="Times New Roman" w:eastAsia="Calibri" w:hAnsi="Times New Roman" w:cs="Times New Roman"/>
          <w:bCs/>
          <w:sz w:val="24"/>
          <w:szCs w:val="24"/>
        </w:rPr>
        <w:t>wnioskodawc</w:t>
      </w:r>
      <w:r w:rsidR="00F43246">
        <w:rPr>
          <w:rFonts w:ascii="Times New Roman" w:eastAsia="Calibri" w:hAnsi="Times New Roman" w:cs="Times New Roman"/>
          <w:bCs/>
          <w:sz w:val="24"/>
          <w:szCs w:val="24"/>
        </w:rPr>
        <w:t>ę</w:t>
      </w:r>
      <w:r w:rsidR="0047503E" w:rsidRPr="00CC7265">
        <w:rPr>
          <w:rFonts w:ascii="Times New Roman" w:eastAsia="Calibri" w:hAnsi="Times New Roman" w:cs="Times New Roman"/>
          <w:bCs/>
          <w:sz w:val="24"/>
          <w:szCs w:val="24"/>
        </w:rPr>
        <w:t xml:space="preserve"> </w:t>
      </w:r>
      <w:r w:rsidR="004C4244" w:rsidRPr="00CC7265">
        <w:rPr>
          <w:rFonts w:ascii="Times New Roman" w:eastAsia="Calibri" w:hAnsi="Times New Roman" w:cs="Times New Roman"/>
          <w:bCs/>
          <w:sz w:val="24"/>
          <w:szCs w:val="24"/>
        </w:rPr>
        <w:t xml:space="preserve">w zgłoszeniu błędu. </w:t>
      </w:r>
      <w:r w:rsidR="0047503E">
        <w:rPr>
          <w:rFonts w:ascii="Times New Roman" w:eastAsia="Calibri" w:hAnsi="Times New Roman" w:cs="Times New Roman"/>
          <w:bCs/>
          <w:sz w:val="24"/>
          <w:szCs w:val="24"/>
        </w:rPr>
        <w:t>Wnioskodawca</w:t>
      </w:r>
      <w:r w:rsidR="0047503E" w:rsidRPr="00CC7265">
        <w:rPr>
          <w:rFonts w:ascii="Times New Roman" w:eastAsia="Calibri" w:hAnsi="Times New Roman" w:cs="Times New Roman"/>
          <w:bCs/>
          <w:sz w:val="24"/>
          <w:szCs w:val="24"/>
        </w:rPr>
        <w:t xml:space="preserve"> </w:t>
      </w:r>
      <w:r w:rsidR="004C4244" w:rsidRPr="00CC7265">
        <w:rPr>
          <w:rFonts w:ascii="Times New Roman" w:eastAsia="Calibri" w:hAnsi="Times New Roman" w:cs="Times New Roman"/>
          <w:bCs/>
          <w:sz w:val="24"/>
          <w:szCs w:val="24"/>
        </w:rPr>
        <w:t>jest zobowiązany do wskazania adresu poczty elektronicznej zapewniającego skuteczną komunikację.</w:t>
      </w:r>
    </w:p>
    <w:p w14:paraId="56213701" w14:textId="5A27DBC2" w:rsidR="004C4244" w:rsidRPr="00CC7265" w:rsidRDefault="004C4244" w:rsidP="00223CAE">
      <w:pPr>
        <w:numPr>
          <w:ilvl w:val="0"/>
          <w:numId w:val="4"/>
        </w:numPr>
        <w:spacing w:after="120"/>
        <w:ind w:left="426" w:hanging="426"/>
        <w:jc w:val="both"/>
        <w:rPr>
          <w:rFonts w:ascii="Times New Roman" w:eastAsia="Calibri" w:hAnsi="Times New Roman" w:cs="Times New Roman"/>
          <w:bCs/>
          <w:sz w:val="24"/>
          <w:szCs w:val="24"/>
        </w:rPr>
      </w:pPr>
      <w:r w:rsidRPr="00CC7265">
        <w:rPr>
          <w:rFonts w:ascii="Times New Roman" w:eastAsia="Calibri" w:hAnsi="Times New Roman" w:cs="Times New Roman"/>
          <w:bCs/>
          <w:sz w:val="24"/>
          <w:szCs w:val="24"/>
        </w:rPr>
        <w:t xml:space="preserve">Pozytywne rozpatrzenie błędu zgłoszonego przez </w:t>
      </w:r>
      <w:r w:rsidR="0047503E">
        <w:rPr>
          <w:rFonts w:ascii="Times New Roman" w:eastAsia="Calibri" w:hAnsi="Times New Roman" w:cs="Times New Roman"/>
          <w:bCs/>
          <w:sz w:val="24"/>
          <w:szCs w:val="24"/>
        </w:rPr>
        <w:t>wnioskodawcę</w:t>
      </w:r>
      <w:r w:rsidR="0047503E" w:rsidRPr="00CC7265">
        <w:rPr>
          <w:rFonts w:ascii="Times New Roman" w:eastAsia="Calibri" w:hAnsi="Times New Roman" w:cs="Times New Roman"/>
          <w:bCs/>
          <w:sz w:val="24"/>
          <w:szCs w:val="24"/>
        </w:rPr>
        <w:t xml:space="preserve"> </w:t>
      </w:r>
      <w:r w:rsidRPr="00CC7265">
        <w:rPr>
          <w:rFonts w:ascii="Times New Roman" w:eastAsia="Calibri" w:hAnsi="Times New Roman" w:cs="Times New Roman"/>
          <w:bCs/>
          <w:sz w:val="24"/>
          <w:szCs w:val="24"/>
        </w:rPr>
        <w:t xml:space="preserve">jest możliwe jedynie w przypadku, gdy problemy </w:t>
      </w:r>
      <w:r w:rsidR="00D16A41">
        <w:rPr>
          <w:rFonts w:ascii="Times New Roman" w:eastAsia="Calibri" w:hAnsi="Times New Roman" w:cs="Times New Roman"/>
          <w:bCs/>
          <w:sz w:val="24"/>
          <w:szCs w:val="24"/>
        </w:rPr>
        <w:t>wnioskodawcy</w:t>
      </w:r>
      <w:r w:rsidRPr="00CC7265">
        <w:rPr>
          <w:rFonts w:ascii="Times New Roman" w:eastAsia="Calibri" w:hAnsi="Times New Roman" w:cs="Times New Roman"/>
          <w:bCs/>
          <w:sz w:val="24"/>
          <w:szCs w:val="24"/>
        </w:rPr>
        <w:t xml:space="preserve"> związane z pracą z narzędziem informatycznym są związane z wadliwym funkcjonowaniem Generatora Wniosków i </w:t>
      </w:r>
      <w:r w:rsidR="00BA3D34">
        <w:rPr>
          <w:rFonts w:ascii="Times New Roman" w:eastAsia="Calibri" w:hAnsi="Times New Roman" w:cs="Times New Roman"/>
          <w:bCs/>
          <w:sz w:val="24"/>
          <w:szCs w:val="24"/>
        </w:rPr>
        <w:t xml:space="preserve">nie </w:t>
      </w:r>
      <w:r w:rsidRPr="00CC7265">
        <w:rPr>
          <w:rFonts w:ascii="Times New Roman" w:eastAsia="Calibri" w:hAnsi="Times New Roman" w:cs="Times New Roman"/>
          <w:bCs/>
          <w:sz w:val="24"/>
          <w:szCs w:val="24"/>
        </w:rPr>
        <w:t xml:space="preserve">leżą po stronie </w:t>
      </w:r>
      <w:r w:rsidR="0047503E">
        <w:rPr>
          <w:rFonts w:ascii="Times New Roman" w:eastAsia="Calibri" w:hAnsi="Times New Roman" w:cs="Times New Roman"/>
          <w:bCs/>
          <w:sz w:val="24"/>
          <w:szCs w:val="24"/>
        </w:rPr>
        <w:t>wnioskodawcy</w:t>
      </w:r>
      <w:r w:rsidRPr="00CC7265">
        <w:rPr>
          <w:rFonts w:ascii="Times New Roman" w:eastAsia="Calibri" w:hAnsi="Times New Roman" w:cs="Times New Roman"/>
          <w:bCs/>
          <w:sz w:val="24"/>
          <w:szCs w:val="24"/>
        </w:rPr>
        <w:t>.</w:t>
      </w:r>
    </w:p>
    <w:p w14:paraId="534803BE" w14:textId="60146C59" w:rsidR="004C4244" w:rsidRPr="00CC7265" w:rsidRDefault="004C4244" w:rsidP="00223CAE">
      <w:pPr>
        <w:numPr>
          <w:ilvl w:val="0"/>
          <w:numId w:val="4"/>
        </w:numPr>
        <w:spacing w:after="120"/>
        <w:ind w:left="426" w:hanging="426"/>
        <w:jc w:val="both"/>
        <w:rPr>
          <w:rFonts w:ascii="Times New Roman" w:hAnsi="Times New Roman" w:cs="Times New Roman"/>
          <w:sz w:val="24"/>
          <w:szCs w:val="24"/>
        </w:rPr>
      </w:pPr>
      <w:r w:rsidRPr="00CC7265">
        <w:rPr>
          <w:rFonts w:ascii="Times New Roman" w:hAnsi="Times New Roman" w:cs="Times New Roman"/>
          <w:sz w:val="24"/>
          <w:szCs w:val="24"/>
        </w:rPr>
        <w:t xml:space="preserve">W razie wystąpienia długotrwałych problemów technicznych uniemożliwiających składanie wniosków </w:t>
      </w:r>
      <w:r w:rsidR="00D31C6B">
        <w:rPr>
          <w:rFonts w:ascii="Times New Roman" w:hAnsi="Times New Roman" w:cs="Times New Roman"/>
          <w:sz w:val="24"/>
          <w:szCs w:val="24"/>
        </w:rPr>
        <w:t>o powierzenie grantu</w:t>
      </w:r>
      <w:r w:rsidRPr="00CC7265">
        <w:rPr>
          <w:rFonts w:ascii="Times New Roman" w:hAnsi="Times New Roman" w:cs="Times New Roman"/>
          <w:sz w:val="24"/>
          <w:szCs w:val="24"/>
        </w:rPr>
        <w:t xml:space="preserve"> za pomocą Generatora Wniosków, należy stosować się do komunikatów zamieszczanych na stronie internetowej </w:t>
      </w:r>
      <w:r w:rsidR="00666DE0">
        <w:rPr>
          <w:rFonts w:ascii="Times New Roman" w:hAnsi="Times New Roman" w:cs="Times New Roman"/>
          <w:sz w:val="24"/>
          <w:szCs w:val="24"/>
        </w:rPr>
        <w:t>PARP</w:t>
      </w:r>
      <w:r w:rsidRPr="00CC7265">
        <w:rPr>
          <w:rFonts w:ascii="Times New Roman" w:hAnsi="Times New Roman" w:cs="Times New Roman"/>
          <w:sz w:val="24"/>
          <w:szCs w:val="24"/>
        </w:rPr>
        <w:t>.</w:t>
      </w:r>
    </w:p>
    <w:p w14:paraId="0CC47CD3" w14:textId="32D57F2F" w:rsidR="00EB1E31" w:rsidRPr="00EB1E31" w:rsidRDefault="004C4244" w:rsidP="00223CAE">
      <w:pPr>
        <w:numPr>
          <w:ilvl w:val="0"/>
          <w:numId w:val="4"/>
        </w:numPr>
        <w:spacing w:after="120"/>
        <w:ind w:left="426" w:hanging="426"/>
        <w:jc w:val="both"/>
        <w:rPr>
          <w:rFonts w:ascii="Times New Roman" w:hAnsi="Times New Roman" w:cs="Times New Roman"/>
          <w:sz w:val="24"/>
          <w:szCs w:val="24"/>
        </w:rPr>
      </w:pPr>
      <w:r w:rsidRPr="00CC7265">
        <w:rPr>
          <w:rFonts w:ascii="Times New Roman" w:hAnsi="Times New Roman" w:cs="Times New Roman"/>
          <w:sz w:val="24"/>
          <w:szCs w:val="24"/>
        </w:rPr>
        <w:t xml:space="preserve">Wycofanie wniosku </w:t>
      </w:r>
      <w:r w:rsidR="00D31C6B">
        <w:rPr>
          <w:rFonts w:ascii="Times New Roman" w:hAnsi="Times New Roman" w:cs="Times New Roman"/>
          <w:sz w:val="24"/>
          <w:szCs w:val="24"/>
        </w:rPr>
        <w:t>o powierzenie grantu</w:t>
      </w:r>
      <w:r w:rsidRPr="00CC7265">
        <w:rPr>
          <w:rFonts w:ascii="Times New Roman" w:hAnsi="Times New Roman" w:cs="Times New Roman"/>
          <w:sz w:val="24"/>
          <w:szCs w:val="24"/>
        </w:rPr>
        <w:t xml:space="preserve"> z ubiegania się </w:t>
      </w:r>
      <w:r w:rsidR="00D0140D">
        <w:rPr>
          <w:rFonts w:ascii="Times New Roman" w:hAnsi="Times New Roman" w:cs="Times New Roman"/>
          <w:sz w:val="24"/>
          <w:szCs w:val="24"/>
        </w:rPr>
        <w:t>o powierzenie grantu</w:t>
      </w:r>
      <w:r w:rsidRPr="00CC7265">
        <w:rPr>
          <w:rFonts w:ascii="Times New Roman" w:hAnsi="Times New Roman" w:cs="Times New Roman"/>
          <w:sz w:val="24"/>
          <w:szCs w:val="24"/>
        </w:rPr>
        <w:t xml:space="preserve"> odbywa się na podstawie </w:t>
      </w:r>
      <w:r w:rsidR="00F42F9D" w:rsidRPr="00CC7265">
        <w:rPr>
          <w:rFonts w:ascii="Times New Roman" w:hAnsi="Times New Roman" w:cs="Times New Roman"/>
          <w:sz w:val="24"/>
          <w:szCs w:val="24"/>
        </w:rPr>
        <w:t>podpisanego</w:t>
      </w:r>
      <w:r w:rsidRPr="00CC7265">
        <w:rPr>
          <w:rFonts w:ascii="Times New Roman" w:hAnsi="Times New Roman" w:cs="Times New Roman"/>
          <w:sz w:val="24"/>
          <w:szCs w:val="24"/>
        </w:rPr>
        <w:t xml:space="preserve"> oświadczenia </w:t>
      </w:r>
      <w:r w:rsidR="0047503E">
        <w:rPr>
          <w:rFonts w:ascii="Times New Roman" w:hAnsi="Times New Roman" w:cs="Times New Roman"/>
          <w:sz w:val="24"/>
          <w:szCs w:val="24"/>
        </w:rPr>
        <w:t>wnioskodawcy</w:t>
      </w:r>
      <w:r w:rsidR="0047503E" w:rsidRPr="00CC7265">
        <w:rPr>
          <w:rFonts w:ascii="Times New Roman" w:hAnsi="Times New Roman" w:cs="Times New Roman"/>
          <w:sz w:val="24"/>
          <w:szCs w:val="24"/>
        </w:rPr>
        <w:t xml:space="preserve"> </w:t>
      </w:r>
      <w:r w:rsidRPr="00CC7265">
        <w:rPr>
          <w:rFonts w:ascii="Times New Roman" w:hAnsi="Times New Roman" w:cs="Times New Roman"/>
          <w:sz w:val="24"/>
          <w:szCs w:val="24"/>
        </w:rPr>
        <w:t xml:space="preserve">o wycofaniu wniosku </w:t>
      </w:r>
      <w:r w:rsidR="004C3632">
        <w:rPr>
          <w:rFonts w:ascii="Times New Roman" w:hAnsi="Times New Roman" w:cs="Times New Roman"/>
          <w:sz w:val="24"/>
          <w:szCs w:val="24"/>
        </w:rPr>
        <w:t>o powierzenie grantu</w:t>
      </w:r>
      <w:r w:rsidRPr="00CC7265">
        <w:rPr>
          <w:rFonts w:ascii="Times New Roman" w:hAnsi="Times New Roman" w:cs="Times New Roman"/>
          <w:sz w:val="24"/>
          <w:szCs w:val="24"/>
        </w:rPr>
        <w:t>.</w:t>
      </w:r>
    </w:p>
    <w:p w14:paraId="68F5543C" w14:textId="77777777" w:rsidR="00DA1ED5" w:rsidRPr="00CC7265" w:rsidRDefault="00DA1ED5" w:rsidP="00DD39CD">
      <w:pPr>
        <w:pStyle w:val="Default"/>
        <w:spacing w:before="120" w:after="120" w:line="271" w:lineRule="auto"/>
        <w:jc w:val="center"/>
        <w:rPr>
          <w:b/>
          <w:bCs/>
          <w:color w:val="auto"/>
        </w:rPr>
      </w:pPr>
    </w:p>
    <w:p w14:paraId="26AD7ABC" w14:textId="77777777" w:rsidR="008B3C93" w:rsidRPr="00CC7265" w:rsidRDefault="008B3C93" w:rsidP="008B3C93">
      <w:pPr>
        <w:pStyle w:val="Default"/>
        <w:spacing w:before="120" w:after="120" w:line="271" w:lineRule="auto"/>
        <w:jc w:val="center"/>
        <w:rPr>
          <w:b/>
          <w:bCs/>
          <w:color w:val="auto"/>
        </w:rPr>
      </w:pPr>
      <w:r w:rsidRPr="00CC7265">
        <w:rPr>
          <w:b/>
          <w:bCs/>
          <w:color w:val="auto"/>
        </w:rPr>
        <w:t xml:space="preserve">§ </w:t>
      </w:r>
      <w:r w:rsidR="0015342A" w:rsidRPr="00CC7265">
        <w:rPr>
          <w:b/>
          <w:bCs/>
          <w:color w:val="auto"/>
        </w:rPr>
        <w:t>7</w:t>
      </w:r>
      <w:r w:rsidRPr="00CC7265">
        <w:rPr>
          <w:b/>
          <w:bCs/>
          <w:color w:val="auto"/>
        </w:rPr>
        <w:t>.</w:t>
      </w:r>
    </w:p>
    <w:p w14:paraId="684A3837" w14:textId="37EE6646" w:rsidR="00AF4AC9" w:rsidRPr="008958BA" w:rsidRDefault="00AF4AC9" w:rsidP="00AF4AC9">
      <w:pPr>
        <w:spacing w:after="120"/>
        <w:jc w:val="center"/>
        <w:rPr>
          <w:rFonts w:ascii="Times New Roman" w:eastAsia="Calibri" w:hAnsi="Times New Roman" w:cs="Times New Roman"/>
          <w:sz w:val="24"/>
        </w:rPr>
      </w:pPr>
      <w:r w:rsidRPr="008958BA">
        <w:rPr>
          <w:rFonts w:ascii="Times New Roman" w:hAnsi="Times New Roman" w:cs="Times New Roman"/>
          <w:b/>
          <w:sz w:val="24"/>
        </w:rPr>
        <w:t xml:space="preserve">Sposób uzupełniania we wniosku </w:t>
      </w:r>
      <w:r w:rsidR="00D0140D">
        <w:rPr>
          <w:rFonts w:ascii="Times New Roman" w:hAnsi="Times New Roman" w:cs="Times New Roman"/>
          <w:b/>
          <w:sz w:val="24"/>
        </w:rPr>
        <w:t>o powierzenie grantu</w:t>
      </w:r>
      <w:r w:rsidRPr="008958BA">
        <w:rPr>
          <w:rFonts w:ascii="Times New Roman" w:hAnsi="Times New Roman" w:cs="Times New Roman"/>
          <w:b/>
          <w:sz w:val="24"/>
        </w:rPr>
        <w:t xml:space="preserve"> braków </w:t>
      </w:r>
      <w:r w:rsidR="006B1D1A">
        <w:rPr>
          <w:rFonts w:ascii="Times New Roman" w:hAnsi="Times New Roman" w:cs="Times New Roman"/>
          <w:b/>
          <w:sz w:val="24"/>
        </w:rPr>
        <w:t xml:space="preserve">formalnych </w:t>
      </w:r>
      <w:r w:rsidRPr="008958BA">
        <w:rPr>
          <w:rFonts w:ascii="Times New Roman" w:hAnsi="Times New Roman" w:cs="Times New Roman"/>
          <w:b/>
          <w:sz w:val="24"/>
        </w:rPr>
        <w:t xml:space="preserve">lub poprawiania </w:t>
      </w:r>
      <w:r w:rsidRPr="008958BA">
        <w:rPr>
          <w:rFonts w:ascii="Times New Roman" w:eastAsia="Calibri" w:hAnsi="Times New Roman" w:cs="Times New Roman"/>
          <w:b/>
          <w:sz w:val="24"/>
        </w:rPr>
        <w:t>w nim oczywistych omyłek</w:t>
      </w:r>
    </w:p>
    <w:p w14:paraId="028F0E56" w14:textId="736D2AC4" w:rsidR="00CB07A6" w:rsidRPr="00466AA3" w:rsidRDefault="00835D53" w:rsidP="00206A30">
      <w:pPr>
        <w:numPr>
          <w:ilvl w:val="0"/>
          <w:numId w:val="17"/>
        </w:numPr>
        <w:spacing w:after="120"/>
        <w:ind w:hanging="502"/>
        <w:jc w:val="both"/>
        <w:rPr>
          <w:rFonts w:ascii="Times New Roman" w:hAnsi="Times New Roman" w:cs="Times New Roman"/>
          <w:sz w:val="24"/>
        </w:rPr>
      </w:pPr>
      <w:r w:rsidRPr="008958BA">
        <w:rPr>
          <w:rFonts w:ascii="Times New Roman" w:eastAsia="Calibri" w:hAnsi="Times New Roman" w:cs="Times New Roman"/>
          <w:sz w:val="24"/>
        </w:rPr>
        <w:t xml:space="preserve">W przypadku stwierdzenia we wniosku </w:t>
      </w:r>
      <w:r>
        <w:rPr>
          <w:rFonts w:ascii="Times New Roman" w:eastAsia="Calibri" w:hAnsi="Times New Roman" w:cs="Times New Roman"/>
          <w:sz w:val="24"/>
        </w:rPr>
        <w:t>o powierzenie grantu</w:t>
      </w:r>
      <w:r w:rsidR="005C4E99">
        <w:rPr>
          <w:rFonts w:ascii="Times New Roman" w:eastAsia="Calibri" w:hAnsi="Times New Roman" w:cs="Times New Roman"/>
          <w:sz w:val="24"/>
        </w:rPr>
        <w:t>:</w:t>
      </w:r>
      <w:r w:rsidRPr="008958BA">
        <w:rPr>
          <w:rFonts w:ascii="Times New Roman" w:eastAsia="Calibri" w:hAnsi="Times New Roman" w:cs="Times New Roman"/>
          <w:sz w:val="24"/>
        </w:rPr>
        <w:t xml:space="preserve"> </w:t>
      </w:r>
    </w:p>
    <w:p w14:paraId="7D843D89" w14:textId="1FF9C032" w:rsidR="00CB07A6" w:rsidRPr="00B76B0D" w:rsidRDefault="00835D53" w:rsidP="00B76B0D">
      <w:pPr>
        <w:pStyle w:val="Akapitzlist"/>
        <w:numPr>
          <w:ilvl w:val="0"/>
          <w:numId w:val="47"/>
        </w:numPr>
        <w:spacing w:after="120"/>
        <w:jc w:val="both"/>
        <w:rPr>
          <w:rFonts w:ascii="Times New Roman" w:eastAsia="Calibri" w:hAnsi="Times New Roman" w:cs="Times New Roman"/>
          <w:sz w:val="24"/>
        </w:rPr>
      </w:pPr>
      <w:r w:rsidRPr="00B76B0D">
        <w:rPr>
          <w:rFonts w:ascii="Times New Roman" w:eastAsia="Calibri" w:hAnsi="Times New Roman" w:cs="Times New Roman"/>
          <w:sz w:val="24"/>
        </w:rPr>
        <w:t>braków</w:t>
      </w:r>
      <w:r w:rsidR="006B1D1A" w:rsidRPr="00B76B0D">
        <w:rPr>
          <w:rFonts w:ascii="Times New Roman" w:eastAsia="Calibri" w:hAnsi="Times New Roman" w:cs="Times New Roman"/>
          <w:sz w:val="24"/>
        </w:rPr>
        <w:t xml:space="preserve"> formalnych</w:t>
      </w:r>
      <w:r w:rsidR="00335B62" w:rsidRPr="00B76B0D">
        <w:rPr>
          <w:rFonts w:ascii="Times New Roman" w:eastAsia="Calibri" w:hAnsi="Times New Roman" w:cs="Times New Roman"/>
          <w:sz w:val="24"/>
        </w:rPr>
        <w:t xml:space="preserve"> </w:t>
      </w:r>
      <w:r w:rsidR="00CB07A6">
        <w:rPr>
          <w:rFonts w:ascii="Times New Roman" w:eastAsia="Calibri" w:hAnsi="Times New Roman" w:cs="Times New Roman"/>
          <w:sz w:val="24"/>
        </w:rPr>
        <w:t xml:space="preserve">– </w:t>
      </w:r>
      <w:r w:rsidR="00CB07A6" w:rsidRPr="00CB07A6">
        <w:rPr>
          <w:rFonts w:ascii="Times New Roman" w:hAnsi="Times New Roman" w:cs="Times New Roman"/>
          <w:sz w:val="24"/>
        </w:rPr>
        <w:t>PARP wzywa wnioskodawcę do ich uzupełnienia;</w:t>
      </w:r>
    </w:p>
    <w:p w14:paraId="2E28C1EC" w14:textId="47368AF2" w:rsidR="005C4E99" w:rsidRDefault="00335B62" w:rsidP="00B76B0D">
      <w:pPr>
        <w:pStyle w:val="Akapitzlist"/>
        <w:numPr>
          <w:ilvl w:val="0"/>
          <w:numId w:val="47"/>
        </w:numPr>
        <w:spacing w:after="120"/>
        <w:jc w:val="both"/>
        <w:rPr>
          <w:rFonts w:ascii="Times New Roman" w:eastAsia="Calibri" w:hAnsi="Times New Roman" w:cs="Times New Roman"/>
          <w:sz w:val="24"/>
        </w:rPr>
      </w:pPr>
      <w:r w:rsidRPr="00B76B0D">
        <w:rPr>
          <w:rFonts w:ascii="Times New Roman" w:eastAsia="Calibri" w:hAnsi="Times New Roman" w:cs="Times New Roman"/>
          <w:sz w:val="24"/>
        </w:rPr>
        <w:t>oczywistych omyłek</w:t>
      </w:r>
      <w:r w:rsidR="00BE5908">
        <w:rPr>
          <w:rFonts w:ascii="Times New Roman" w:eastAsia="Calibri" w:hAnsi="Times New Roman" w:cs="Times New Roman"/>
          <w:sz w:val="24"/>
        </w:rPr>
        <w:t xml:space="preserve"> -</w:t>
      </w:r>
      <w:r w:rsidR="00835D53" w:rsidRPr="00B76B0D">
        <w:rPr>
          <w:rFonts w:ascii="Times New Roman" w:eastAsia="Calibri" w:hAnsi="Times New Roman" w:cs="Times New Roman"/>
          <w:sz w:val="24"/>
        </w:rPr>
        <w:t xml:space="preserve"> </w:t>
      </w:r>
      <w:r w:rsidR="00CA5373">
        <w:rPr>
          <w:rFonts w:ascii="Times New Roman" w:eastAsia="Calibri" w:hAnsi="Times New Roman" w:cs="Times New Roman"/>
          <w:sz w:val="24"/>
        </w:rPr>
        <w:t>PA</w:t>
      </w:r>
      <w:r w:rsidR="00666DE0" w:rsidRPr="00B76B0D">
        <w:rPr>
          <w:rFonts w:ascii="Times New Roman" w:eastAsia="Calibri" w:hAnsi="Times New Roman" w:cs="Times New Roman"/>
          <w:sz w:val="24"/>
        </w:rPr>
        <w:t>R</w:t>
      </w:r>
      <w:r w:rsidR="00CA5373">
        <w:rPr>
          <w:rFonts w:ascii="Times New Roman" w:eastAsia="Calibri" w:hAnsi="Times New Roman" w:cs="Times New Roman"/>
          <w:sz w:val="24"/>
        </w:rPr>
        <w:t>P</w:t>
      </w:r>
      <w:r w:rsidR="00666DE0" w:rsidRPr="00B76B0D">
        <w:rPr>
          <w:rFonts w:ascii="Times New Roman" w:eastAsia="Calibri" w:hAnsi="Times New Roman" w:cs="Times New Roman"/>
          <w:sz w:val="24"/>
        </w:rPr>
        <w:t xml:space="preserve"> </w:t>
      </w:r>
      <w:r w:rsidR="00C50E86">
        <w:rPr>
          <w:rFonts w:ascii="Times New Roman" w:hAnsi="Times New Roman" w:cs="Times New Roman"/>
          <w:sz w:val="24"/>
        </w:rPr>
        <w:t>poprawia omyłki</w:t>
      </w:r>
      <w:r w:rsidR="00BE5908">
        <w:rPr>
          <w:rFonts w:ascii="Times New Roman" w:hAnsi="Times New Roman" w:cs="Times New Roman"/>
          <w:sz w:val="24"/>
        </w:rPr>
        <w:t xml:space="preserve"> z urzędu,</w:t>
      </w:r>
      <w:r w:rsidR="00CB07A6" w:rsidRPr="00CB07A6">
        <w:rPr>
          <w:rFonts w:ascii="Times New Roman" w:hAnsi="Times New Roman" w:cs="Times New Roman"/>
          <w:sz w:val="24"/>
        </w:rPr>
        <w:t xml:space="preserve"> </w:t>
      </w:r>
      <w:r w:rsidR="00BE5908">
        <w:rPr>
          <w:rFonts w:ascii="Times New Roman" w:hAnsi="Times New Roman" w:cs="Times New Roman"/>
          <w:sz w:val="24"/>
        </w:rPr>
        <w:t>informując</w:t>
      </w:r>
      <w:r w:rsidR="00BE5908" w:rsidRPr="00CB07A6">
        <w:rPr>
          <w:rFonts w:ascii="Times New Roman" w:hAnsi="Times New Roman" w:cs="Times New Roman"/>
          <w:sz w:val="24"/>
        </w:rPr>
        <w:t xml:space="preserve"> o tym wnioskodawcę na adres poczty elektronicznej wnioskodawcy </w:t>
      </w:r>
      <w:r w:rsidR="00CB07A6" w:rsidRPr="00CB07A6">
        <w:rPr>
          <w:rFonts w:ascii="Times New Roman" w:hAnsi="Times New Roman" w:cs="Times New Roman"/>
          <w:sz w:val="24"/>
        </w:rPr>
        <w:t>albo w</w:t>
      </w:r>
      <w:r w:rsidR="00C50E86">
        <w:rPr>
          <w:rFonts w:ascii="Times New Roman" w:hAnsi="Times New Roman" w:cs="Times New Roman"/>
          <w:sz w:val="24"/>
        </w:rPr>
        <w:t>zywa</w:t>
      </w:r>
      <w:r w:rsidR="00CB07A6" w:rsidRPr="00CB07A6">
        <w:rPr>
          <w:rFonts w:ascii="Times New Roman" w:hAnsi="Times New Roman" w:cs="Times New Roman"/>
          <w:sz w:val="24"/>
        </w:rPr>
        <w:t xml:space="preserve"> wnioskodawcę do ich poprawienia</w:t>
      </w:r>
      <w:r w:rsidR="00835D53" w:rsidRPr="00B76B0D">
        <w:rPr>
          <w:rFonts w:ascii="Times New Roman" w:eastAsia="Calibri" w:hAnsi="Times New Roman" w:cs="Times New Roman"/>
          <w:sz w:val="24"/>
        </w:rPr>
        <w:t>.</w:t>
      </w:r>
    </w:p>
    <w:p w14:paraId="025B7F7C" w14:textId="22EB115A" w:rsidR="00AF4AC9" w:rsidRPr="00B76B0D" w:rsidRDefault="00AF4AC9" w:rsidP="00B76B0D">
      <w:pPr>
        <w:pStyle w:val="Akapitzlist"/>
        <w:numPr>
          <w:ilvl w:val="0"/>
          <w:numId w:val="49"/>
        </w:numPr>
        <w:spacing w:after="120"/>
        <w:ind w:left="567" w:hanging="567"/>
        <w:jc w:val="both"/>
        <w:rPr>
          <w:rFonts w:ascii="Times New Roman" w:eastAsia="Calibri" w:hAnsi="Times New Roman" w:cs="Times New Roman"/>
          <w:sz w:val="24"/>
        </w:rPr>
      </w:pPr>
      <w:r w:rsidRPr="00B76B0D">
        <w:rPr>
          <w:rFonts w:ascii="Times New Roman" w:eastAsia="Calibri" w:hAnsi="Times New Roman" w:cs="Times New Roman"/>
          <w:sz w:val="24"/>
        </w:rPr>
        <w:t>Wezwanie</w:t>
      </w:r>
      <w:r w:rsidR="00C50E86">
        <w:rPr>
          <w:rFonts w:ascii="Times New Roman" w:eastAsia="Calibri" w:hAnsi="Times New Roman" w:cs="Times New Roman"/>
          <w:sz w:val="24"/>
        </w:rPr>
        <w:t>, o którym mowa w ust. 1</w:t>
      </w:r>
      <w:r w:rsidRPr="00B76B0D">
        <w:rPr>
          <w:rFonts w:ascii="Times New Roman" w:eastAsia="Calibri" w:hAnsi="Times New Roman" w:cs="Times New Roman"/>
          <w:sz w:val="24"/>
        </w:rPr>
        <w:t xml:space="preserve"> kierowane jest przez </w:t>
      </w:r>
      <w:r w:rsidR="00666DE0" w:rsidRPr="00B76B0D">
        <w:rPr>
          <w:rFonts w:ascii="Times New Roman" w:eastAsia="Calibri" w:hAnsi="Times New Roman" w:cs="Times New Roman"/>
          <w:sz w:val="24"/>
        </w:rPr>
        <w:t xml:space="preserve">PARP </w:t>
      </w:r>
      <w:r w:rsidRPr="00B76B0D">
        <w:rPr>
          <w:rFonts w:ascii="Times New Roman" w:eastAsia="Calibri" w:hAnsi="Times New Roman" w:cs="Times New Roman"/>
          <w:sz w:val="24"/>
        </w:rPr>
        <w:t xml:space="preserve">na adres poczty elektronicznej </w:t>
      </w:r>
      <w:r w:rsidR="0047503E" w:rsidRPr="00B76B0D">
        <w:rPr>
          <w:rFonts w:ascii="Times New Roman" w:eastAsia="Calibri" w:hAnsi="Times New Roman" w:cs="Times New Roman"/>
          <w:sz w:val="24"/>
        </w:rPr>
        <w:t>wnioskodawcy</w:t>
      </w:r>
      <w:r w:rsidR="00C50E86">
        <w:rPr>
          <w:rFonts w:ascii="Times New Roman" w:eastAsia="Calibri" w:hAnsi="Times New Roman" w:cs="Times New Roman"/>
          <w:sz w:val="24"/>
        </w:rPr>
        <w:t xml:space="preserve"> </w:t>
      </w:r>
      <w:r w:rsidR="003E6E0A" w:rsidRPr="00B76B0D">
        <w:rPr>
          <w:rFonts w:ascii="Times New Roman" w:eastAsia="Calibri" w:hAnsi="Times New Roman" w:cs="Times New Roman"/>
          <w:sz w:val="24"/>
        </w:rPr>
        <w:t>zgodnie z</w:t>
      </w:r>
      <w:r w:rsidRPr="00B76B0D">
        <w:rPr>
          <w:rFonts w:ascii="Times New Roman" w:eastAsia="Calibri" w:hAnsi="Times New Roman" w:cs="Times New Roman"/>
          <w:sz w:val="24"/>
        </w:rPr>
        <w:t xml:space="preserve"> </w:t>
      </w:r>
      <w:r w:rsidR="00FB657C" w:rsidRPr="00B76B0D">
        <w:rPr>
          <w:rFonts w:ascii="Times New Roman" w:eastAsia="Calibri" w:hAnsi="Times New Roman" w:cs="Times New Roman"/>
          <w:sz w:val="24"/>
        </w:rPr>
        <w:t>§ 3 ust</w:t>
      </w:r>
      <w:r w:rsidR="00511AFB" w:rsidRPr="00B76B0D">
        <w:rPr>
          <w:rFonts w:ascii="Times New Roman" w:eastAsia="Calibri" w:hAnsi="Times New Roman" w:cs="Times New Roman"/>
          <w:sz w:val="24"/>
        </w:rPr>
        <w:t>.</w:t>
      </w:r>
      <w:r w:rsidR="00FB657C" w:rsidRPr="00B76B0D">
        <w:rPr>
          <w:rFonts w:ascii="Times New Roman" w:eastAsia="Calibri" w:hAnsi="Times New Roman" w:cs="Times New Roman"/>
          <w:sz w:val="24"/>
        </w:rPr>
        <w:t xml:space="preserve"> </w:t>
      </w:r>
      <w:r w:rsidR="00D0140D" w:rsidRPr="00B76B0D">
        <w:rPr>
          <w:rFonts w:ascii="Times New Roman" w:eastAsia="Calibri" w:hAnsi="Times New Roman" w:cs="Times New Roman"/>
          <w:sz w:val="24"/>
        </w:rPr>
        <w:t>7</w:t>
      </w:r>
      <w:r w:rsidRPr="00B76B0D">
        <w:rPr>
          <w:rFonts w:ascii="Times New Roman" w:eastAsia="Calibri" w:hAnsi="Times New Roman" w:cs="Times New Roman"/>
          <w:sz w:val="24"/>
        </w:rPr>
        <w:t xml:space="preserve">. </w:t>
      </w:r>
      <w:r w:rsidR="0047503E" w:rsidRPr="00B76B0D">
        <w:rPr>
          <w:rFonts w:ascii="Times New Roman" w:eastAsia="Calibri" w:hAnsi="Times New Roman" w:cs="Times New Roman"/>
          <w:sz w:val="24"/>
        </w:rPr>
        <w:t xml:space="preserve">Wnioskodawca </w:t>
      </w:r>
      <w:r w:rsidR="003E6E0A" w:rsidRPr="00B76B0D">
        <w:rPr>
          <w:rFonts w:ascii="Times New Roman" w:eastAsia="Calibri" w:hAnsi="Times New Roman" w:cs="Times New Roman"/>
          <w:sz w:val="24"/>
        </w:rPr>
        <w:t xml:space="preserve">jest zobowiązany </w:t>
      </w:r>
      <w:r w:rsidRPr="00B76B0D">
        <w:rPr>
          <w:rFonts w:ascii="Times New Roman" w:eastAsia="Calibri" w:hAnsi="Times New Roman" w:cs="Times New Roman"/>
          <w:sz w:val="24"/>
        </w:rPr>
        <w:t xml:space="preserve">uzupełnić braki </w:t>
      </w:r>
      <w:r w:rsidR="00AF3705" w:rsidRPr="00B76B0D">
        <w:rPr>
          <w:rFonts w:ascii="Times New Roman" w:eastAsia="Calibri" w:hAnsi="Times New Roman" w:cs="Times New Roman"/>
          <w:sz w:val="24"/>
        </w:rPr>
        <w:t xml:space="preserve">formalne </w:t>
      </w:r>
      <w:r w:rsidR="00335B62" w:rsidRPr="00B76B0D">
        <w:rPr>
          <w:rFonts w:ascii="Times New Roman" w:eastAsia="Calibri" w:hAnsi="Times New Roman" w:cs="Times New Roman"/>
          <w:sz w:val="24"/>
        </w:rPr>
        <w:t xml:space="preserve">lub poprawić oczywiste omyłki </w:t>
      </w:r>
      <w:r w:rsidRPr="00B76B0D">
        <w:rPr>
          <w:rFonts w:ascii="Times New Roman" w:eastAsia="Calibri" w:hAnsi="Times New Roman" w:cs="Times New Roman"/>
          <w:color w:val="000000"/>
          <w:sz w:val="24"/>
        </w:rPr>
        <w:t xml:space="preserve">w terminie </w:t>
      </w:r>
      <w:r w:rsidR="00EA1C32" w:rsidRPr="00B76B0D">
        <w:rPr>
          <w:rFonts w:ascii="Times New Roman" w:eastAsia="Calibri" w:hAnsi="Times New Roman" w:cs="Times New Roman"/>
          <w:color w:val="000000"/>
          <w:sz w:val="24"/>
        </w:rPr>
        <w:t xml:space="preserve">7 </w:t>
      </w:r>
      <w:r w:rsidRPr="00B76B0D">
        <w:rPr>
          <w:rFonts w:ascii="Times New Roman" w:eastAsia="Calibri" w:hAnsi="Times New Roman" w:cs="Times New Roman"/>
          <w:color w:val="000000"/>
          <w:sz w:val="24"/>
        </w:rPr>
        <w:t>dni</w:t>
      </w:r>
      <w:r w:rsidR="00D87D75" w:rsidRPr="00B76B0D">
        <w:rPr>
          <w:rFonts w:ascii="Times New Roman" w:eastAsia="Calibri" w:hAnsi="Times New Roman" w:cs="Times New Roman"/>
          <w:color w:val="000000"/>
          <w:sz w:val="24"/>
        </w:rPr>
        <w:t xml:space="preserve"> roboczych</w:t>
      </w:r>
      <w:r w:rsidRPr="00B76B0D">
        <w:rPr>
          <w:rFonts w:ascii="Times New Roman" w:eastAsia="Calibri" w:hAnsi="Times New Roman" w:cs="Times New Roman"/>
          <w:color w:val="000000"/>
          <w:sz w:val="24"/>
        </w:rPr>
        <w:t xml:space="preserve"> liczonych od </w:t>
      </w:r>
      <w:r w:rsidR="0061073D" w:rsidRPr="00B76B0D">
        <w:rPr>
          <w:rFonts w:ascii="Times New Roman" w:eastAsia="Calibri" w:hAnsi="Times New Roman" w:cs="Times New Roman"/>
          <w:color w:val="000000"/>
          <w:sz w:val="24"/>
        </w:rPr>
        <w:t xml:space="preserve">dnia </w:t>
      </w:r>
      <w:r w:rsidRPr="00B76B0D">
        <w:rPr>
          <w:rFonts w:ascii="Times New Roman" w:eastAsia="Calibri" w:hAnsi="Times New Roman" w:cs="Times New Roman"/>
          <w:color w:val="000000"/>
          <w:sz w:val="24"/>
        </w:rPr>
        <w:t>następ</w:t>
      </w:r>
      <w:r w:rsidR="0061073D" w:rsidRPr="00B76B0D">
        <w:rPr>
          <w:rFonts w:ascii="Times New Roman" w:eastAsia="Calibri" w:hAnsi="Times New Roman" w:cs="Times New Roman"/>
          <w:color w:val="000000"/>
          <w:sz w:val="24"/>
        </w:rPr>
        <w:t>ującego</w:t>
      </w:r>
      <w:r w:rsidRPr="00B76B0D">
        <w:rPr>
          <w:rFonts w:ascii="Times New Roman" w:eastAsia="Calibri" w:hAnsi="Times New Roman" w:cs="Times New Roman"/>
          <w:color w:val="000000"/>
          <w:sz w:val="24"/>
        </w:rPr>
        <w:t xml:space="preserve"> po dniu wysłania przez </w:t>
      </w:r>
      <w:r w:rsidR="00666DE0" w:rsidRPr="00B76B0D">
        <w:rPr>
          <w:rFonts w:ascii="Times New Roman" w:eastAsia="Calibri" w:hAnsi="Times New Roman" w:cs="Times New Roman"/>
          <w:color w:val="000000"/>
          <w:sz w:val="24"/>
        </w:rPr>
        <w:t xml:space="preserve">PARP </w:t>
      </w:r>
      <w:r w:rsidRPr="00B76B0D">
        <w:rPr>
          <w:rFonts w:ascii="Times New Roman" w:eastAsia="Calibri" w:hAnsi="Times New Roman" w:cs="Times New Roman"/>
          <w:color w:val="000000"/>
          <w:sz w:val="24"/>
        </w:rPr>
        <w:t xml:space="preserve">wezwania. </w:t>
      </w:r>
      <w:r w:rsidR="00666DE0" w:rsidRPr="00B76B0D">
        <w:rPr>
          <w:rFonts w:ascii="Times New Roman" w:eastAsia="Calibri" w:hAnsi="Times New Roman" w:cs="Times New Roman"/>
          <w:color w:val="000000"/>
          <w:sz w:val="24"/>
        </w:rPr>
        <w:t xml:space="preserve">PARP </w:t>
      </w:r>
      <w:r w:rsidRPr="00B76B0D">
        <w:rPr>
          <w:rFonts w:ascii="Times New Roman" w:eastAsia="Calibri" w:hAnsi="Times New Roman" w:cs="Times New Roman"/>
          <w:color w:val="000000"/>
          <w:sz w:val="24"/>
        </w:rPr>
        <w:t xml:space="preserve">może wysłać wezwanie do </w:t>
      </w:r>
      <w:r w:rsidR="0047503E" w:rsidRPr="00B76B0D">
        <w:rPr>
          <w:rFonts w:ascii="Times New Roman" w:eastAsia="Calibri" w:hAnsi="Times New Roman" w:cs="Times New Roman"/>
          <w:color w:val="000000"/>
          <w:sz w:val="24"/>
        </w:rPr>
        <w:t xml:space="preserve">wnioskodawcy </w:t>
      </w:r>
      <w:r w:rsidRPr="00B76B0D">
        <w:rPr>
          <w:rFonts w:ascii="Times New Roman" w:eastAsia="Calibri" w:hAnsi="Times New Roman" w:cs="Times New Roman"/>
          <w:color w:val="000000"/>
          <w:sz w:val="24"/>
        </w:rPr>
        <w:t xml:space="preserve">na każdym etapie </w:t>
      </w:r>
      <w:r w:rsidR="00527255" w:rsidRPr="00B76B0D">
        <w:rPr>
          <w:rFonts w:ascii="Times New Roman" w:eastAsia="Calibri" w:hAnsi="Times New Roman" w:cs="Times New Roman"/>
          <w:color w:val="000000"/>
          <w:sz w:val="24"/>
        </w:rPr>
        <w:t>nabor</w:t>
      </w:r>
      <w:r w:rsidRPr="00B76B0D">
        <w:rPr>
          <w:rFonts w:ascii="Times New Roman" w:eastAsia="Calibri" w:hAnsi="Times New Roman" w:cs="Times New Roman"/>
          <w:color w:val="000000"/>
          <w:sz w:val="24"/>
        </w:rPr>
        <w:t>u.</w:t>
      </w:r>
    </w:p>
    <w:p w14:paraId="0B3661EF" w14:textId="3349759C" w:rsidR="00AF4AC9" w:rsidRPr="004C3632" w:rsidRDefault="00424588" w:rsidP="00206A30">
      <w:pPr>
        <w:spacing w:after="120"/>
        <w:ind w:left="349" w:hanging="349"/>
        <w:jc w:val="both"/>
        <w:rPr>
          <w:rFonts w:ascii="Times New Roman" w:eastAsia="Calibri" w:hAnsi="Times New Roman" w:cs="Times New Roman"/>
          <w:sz w:val="24"/>
        </w:rPr>
      </w:pPr>
      <w:r>
        <w:rPr>
          <w:rFonts w:ascii="Times New Roman" w:eastAsia="Calibri" w:hAnsi="Times New Roman" w:cs="Times New Roman"/>
          <w:sz w:val="24"/>
        </w:rPr>
        <w:t xml:space="preserve">3. </w:t>
      </w:r>
      <w:r w:rsidR="00AF4AC9" w:rsidRPr="004C3632">
        <w:rPr>
          <w:rFonts w:ascii="Times New Roman" w:eastAsia="Calibri" w:hAnsi="Times New Roman" w:cs="Times New Roman"/>
          <w:sz w:val="24"/>
        </w:rPr>
        <w:t xml:space="preserve">Dla rozstrzygnięcia, czy dokonano wskazanego w wezwaniu uzupełnienia wniosku </w:t>
      </w:r>
      <w:r w:rsidR="00D31C6B">
        <w:rPr>
          <w:rFonts w:ascii="Times New Roman" w:eastAsia="Calibri" w:hAnsi="Times New Roman" w:cs="Times New Roman"/>
          <w:sz w:val="24"/>
        </w:rPr>
        <w:t xml:space="preserve">o </w:t>
      </w:r>
      <w:r w:rsidR="00206A30">
        <w:rPr>
          <w:rFonts w:ascii="Times New Roman" w:eastAsia="Calibri" w:hAnsi="Times New Roman" w:cs="Times New Roman"/>
          <w:sz w:val="24"/>
        </w:rPr>
        <w:t xml:space="preserve"> </w:t>
      </w:r>
      <w:r w:rsidR="00D31C6B">
        <w:rPr>
          <w:rFonts w:ascii="Times New Roman" w:eastAsia="Calibri" w:hAnsi="Times New Roman" w:cs="Times New Roman"/>
          <w:sz w:val="24"/>
        </w:rPr>
        <w:t>powierzenie grantu</w:t>
      </w:r>
      <w:r w:rsidR="00AF4AC9" w:rsidRPr="004C3632">
        <w:rPr>
          <w:rFonts w:ascii="Times New Roman" w:eastAsia="Calibri" w:hAnsi="Times New Roman" w:cs="Times New Roman"/>
          <w:sz w:val="24"/>
        </w:rPr>
        <w:t xml:space="preserve"> w terminie decydująca jest:</w:t>
      </w:r>
    </w:p>
    <w:p w14:paraId="4057D5E8" w14:textId="71F3ED7B" w:rsidR="00AF4AC9" w:rsidRPr="004C3632" w:rsidRDefault="00AF4AC9" w:rsidP="00223CAE">
      <w:pPr>
        <w:numPr>
          <w:ilvl w:val="0"/>
          <w:numId w:val="18"/>
        </w:numPr>
        <w:spacing w:after="120"/>
        <w:ind w:left="709"/>
        <w:jc w:val="both"/>
        <w:rPr>
          <w:rFonts w:ascii="Times New Roman" w:eastAsia="Calibri" w:hAnsi="Times New Roman" w:cs="Times New Roman"/>
          <w:sz w:val="24"/>
        </w:rPr>
      </w:pPr>
      <w:r w:rsidRPr="004C3632">
        <w:rPr>
          <w:rFonts w:ascii="Times New Roman" w:eastAsia="Calibri" w:hAnsi="Times New Roman" w:cs="Times New Roman"/>
          <w:sz w:val="24"/>
        </w:rPr>
        <w:t xml:space="preserve">data złożenia nowej wersji wniosku </w:t>
      </w:r>
      <w:r w:rsidR="00D31C6B">
        <w:rPr>
          <w:rFonts w:ascii="Times New Roman" w:eastAsia="Calibri" w:hAnsi="Times New Roman" w:cs="Times New Roman"/>
          <w:sz w:val="24"/>
        </w:rPr>
        <w:t>o powierzenie grantu</w:t>
      </w:r>
      <w:r w:rsidRPr="004C3632">
        <w:rPr>
          <w:rFonts w:ascii="Times New Roman" w:eastAsia="Calibri" w:hAnsi="Times New Roman" w:cs="Times New Roman"/>
          <w:sz w:val="24"/>
        </w:rPr>
        <w:t xml:space="preserve"> w </w:t>
      </w:r>
      <w:r w:rsidR="00D12846">
        <w:rPr>
          <w:rFonts w:ascii="Times New Roman" w:eastAsia="Calibri" w:hAnsi="Times New Roman" w:cs="Times New Roman"/>
          <w:sz w:val="24"/>
        </w:rPr>
        <w:t xml:space="preserve">GW </w:t>
      </w:r>
      <w:r w:rsidRPr="004C3632">
        <w:rPr>
          <w:rFonts w:ascii="Times New Roman" w:eastAsia="Calibri" w:hAnsi="Times New Roman" w:cs="Times New Roman"/>
          <w:sz w:val="24"/>
        </w:rPr>
        <w:t xml:space="preserve">lub dołączenia załączników w </w:t>
      </w:r>
      <w:r w:rsidR="00D12846">
        <w:rPr>
          <w:rFonts w:ascii="Times New Roman" w:eastAsia="Calibri" w:hAnsi="Times New Roman" w:cs="Times New Roman"/>
          <w:sz w:val="24"/>
        </w:rPr>
        <w:t>GW</w:t>
      </w:r>
      <w:r w:rsidR="00652869">
        <w:rPr>
          <w:rFonts w:ascii="Times New Roman" w:eastAsia="Calibri" w:hAnsi="Times New Roman" w:cs="Times New Roman"/>
          <w:sz w:val="24"/>
        </w:rPr>
        <w:t xml:space="preserve"> </w:t>
      </w:r>
      <w:r w:rsidRPr="004C3632">
        <w:rPr>
          <w:rFonts w:ascii="Times New Roman" w:eastAsia="Calibri" w:hAnsi="Times New Roman" w:cs="Times New Roman"/>
          <w:sz w:val="24"/>
        </w:rPr>
        <w:t>(data generowana jest przez system po naciśnięciu przycisku „Uzupełnij wniosek”) albo</w:t>
      </w:r>
    </w:p>
    <w:p w14:paraId="04B60C14" w14:textId="0EB90928" w:rsidR="00AF4AC9" w:rsidRPr="004C3632" w:rsidRDefault="00AF4AC9" w:rsidP="00223CAE">
      <w:pPr>
        <w:numPr>
          <w:ilvl w:val="0"/>
          <w:numId w:val="18"/>
        </w:numPr>
        <w:spacing w:after="120"/>
        <w:ind w:left="709"/>
        <w:jc w:val="both"/>
        <w:rPr>
          <w:rFonts w:ascii="Times New Roman" w:eastAsia="Calibri" w:hAnsi="Times New Roman" w:cs="Times New Roman"/>
          <w:sz w:val="24"/>
        </w:rPr>
      </w:pPr>
      <w:r w:rsidRPr="004C3632">
        <w:rPr>
          <w:rFonts w:ascii="Times New Roman" w:eastAsia="Calibri" w:hAnsi="Times New Roman" w:cs="Times New Roman"/>
          <w:sz w:val="24"/>
        </w:rPr>
        <w:t xml:space="preserve">data nadania dokumentu </w:t>
      </w:r>
      <w:r w:rsidRPr="004C3632">
        <w:rPr>
          <w:rFonts w:ascii="Times New Roman" w:hAnsi="Times New Roman" w:cs="Times New Roman"/>
          <w:b/>
          <w:bCs/>
          <w:sz w:val="24"/>
        </w:rPr>
        <w:t xml:space="preserve">w polskiej placówce pocztowej operatora wyznaczonego </w:t>
      </w:r>
      <w:r w:rsidRPr="004C3632">
        <w:rPr>
          <w:rFonts w:ascii="Times New Roman" w:hAnsi="Times New Roman" w:cs="Times New Roman"/>
          <w:b/>
          <w:bCs/>
          <w:sz w:val="24"/>
        </w:rPr>
        <w:br/>
        <w:t>w rozumieniu ustawy z dnia 23 listopada 2012 r. – Prawo pocztowe</w:t>
      </w:r>
      <w:r w:rsidRPr="004C3632">
        <w:rPr>
          <w:rFonts w:ascii="Times New Roman" w:hAnsi="Times New Roman" w:cs="Times New Roman"/>
          <w:bCs/>
          <w:sz w:val="24"/>
        </w:rPr>
        <w:t xml:space="preserve"> </w:t>
      </w:r>
      <w:r w:rsidRPr="004C3632">
        <w:rPr>
          <w:rFonts w:ascii="Times New Roman" w:hAnsi="Times New Roman" w:cs="Times New Roman"/>
          <w:bCs/>
          <w:sz w:val="24"/>
        </w:rPr>
        <w:br/>
        <w:t>(Dz.</w:t>
      </w:r>
      <w:r w:rsidR="008D327C">
        <w:rPr>
          <w:rFonts w:ascii="Times New Roman" w:hAnsi="Times New Roman" w:cs="Times New Roman"/>
          <w:bCs/>
          <w:sz w:val="24"/>
        </w:rPr>
        <w:t xml:space="preserve"> </w:t>
      </w:r>
      <w:r w:rsidRPr="004C3632">
        <w:rPr>
          <w:rFonts w:ascii="Times New Roman" w:hAnsi="Times New Roman" w:cs="Times New Roman"/>
          <w:bCs/>
          <w:sz w:val="24"/>
        </w:rPr>
        <w:t>U.</w:t>
      </w:r>
      <w:r w:rsidRPr="004C3632">
        <w:rPr>
          <w:rFonts w:ascii="Times New Roman" w:hAnsi="Times New Roman" w:cs="Times New Roman"/>
          <w:b/>
          <w:bCs/>
          <w:sz w:val="24"/>
        </w:rPr>
        <w:t xml:space="preserve"> </w:t>
      </w:r>
      <w:r w:rsidRPr="00D0140D">
        <w:rPr>
          <w:rFonts w:ascii="Times New Roman" w:hAnsi="Times New Roman" w:cs="Times New Roman"/>
          <w:bCs/>
          <w:sz w:val="24"/>
        </w:rPr>
        <w:t>z 201</w:t>
      </w:r>
      <w:r w:rsidR="008D327C">
        <w:rPr>
          <w:rFonts w:ascii="Times New Roman" w:hAnsi="Times New Roman" w:cs="Times New Roman"/>
          <w:bCs/>
          <w:sz w:val="24"/>
        </w:rPr>
        <w:t>7</w:t>
      </w:r>
      <w:r w:rsidRPr="00D0140D">
        <w:rPr>
          <w:rFonts w:ascii="Times New Roman" w:hAnsi="Times New Roman" w:cs="Times New Roman"/>
          <w:bCs/>
          <w:sz w:val="24"/>
        </w:rPr>
        <w:t xml:space="preserve"> r. poz. </w:t>
      </w:r>
      <w:r w:rsidR="008D327C">
        <w:rPr>
          <w:rFonts w:ascii="Times New Roman" w:hAnsi="Times New Roman" w:cs="Times New Roman"/>
          <w:bCs/>
          <w:sz w:val="24"/>
        </w:rPr>
        <w:t>1481</w:t>
      </w:r>
      <w:r w:rsidRPr="00D0140D">
        <w:rPr>
          <w:rFonts w:ascii="Times New Roman" w:hAnsi="Times New Roman" w:cs="Times New Roman"/>
          <w:bCs/>
          <w:sz w:val="24"/>
        </w:rPr>
        <w:t>) (</w:t>
      </w:r>
      <w:r w:rsidRPr="004C3632">
        <w:rPr>
          <w:rFonts w:ascii="Times New Roman" w:hAnsi="Times New Roman" w:cs="Times New Roman"/>
          <w:b/>
          <w:bCs/>
          <w:sz w:val="24"/>
        </w:rPr>
        <w:t>tj. w placówce Poczty Polskiej</w:t>
      </w:r>
      <w:r w:rsidRPr="004C3632">
        <w:rPr>
          <w:rFonts w:ascii="Times New Roman" w:hAnsi="Times New Roman" w:cs="Times New Roman"/>
          <w:bCs/>
          <w:sz w:val="24"/>
        </w:rPr>
        <w:t>)</w:t>
      </w:r>
      <w:r w:rsidRPr="004C3632">
        <w:rPr>
          <w:rFonts w:ascii="Times New Roman" w:eastAsia="Calibri" w:hAnsi="Times New Roman" w:cs="Times New Roman"/>
          <w:sz w:val="24"/>
        </w:rPr>
        <w:t xml:space="preserve"> lub data widniejąca na </w:t>
      </w:r>
      <w:r w:rsidRPr="004C3632">
        <w:rPr>
          <w:rFonts w:ascii="Times New Roman" w:eastAsia="Calibri" w:hAnsi="Times New Roman" w:cs="Times New Roman"/>
          <w:sz w:val="24"/>
        </w:rPr>
        <w:lastRenderedPageBreak/>
        <w:t xml:space="preserve">pieczęci wpływu dokumentu dostarczonego do PARP (w przypadkach innych niż nadanie dokumentu w placówce Poczty Polskiej) </w:t>
      </w:r>
      <w:r w:rsidR="00F65DAC">
        <w:rPr>
          <w:rFonts w:ascii="Times New Roman" w:eastAsia="Calibri" w:hAnsi="Times New Roman" w:cs="Times New Roman"/>
          <w:sz w:val="24"/>
        </w:rPr>
        <w:t xml:space="preserve">– </w:t>
      </w:r>
      <w:r w:rsidRPr="004C3632">
        <w:rPr>
          <w:rFonts w:ascii="Times New Roman" w:eastAsia="Calibri" w:hAnsi="Times New Roman" w:cs="Times New Roman"/>
          <w:sz w:val="24"/>
        </w:rPr>
        <w:t xml:space="preserve">w przypadku, gdy w związku z wystąpieniem okoliczności, określonych w § 6 ust. </w:t>
      </w:r>
      <w:r w:rsidR="00225A8E" w:rsidRPr="004C3632">
        <w:rPr>
          <w:rFonts w:ascii="Times New Roman" w:eastAsia="Calibri" w:hAnsi="Times New Roman" w:cs="Times New Roman"/>
          <w:sz w:val="24"/>
        </w:rPr>
        <w:t>1</w:t>
      </w:r>
      <w:r w:rsidR="006C21FC">
        <w:rPr>
          <w:rFonts w:ascii="Times New Roman" w:eastAsia="Calibri" w:hAnsi="Times New Roman" w:cs="Times New Roman"/>
          <w:sz w:val="24"/>
        </w:rPr>
        <w:t>5</w:t>
      </w:r>
      <w:r w:rsidR="00225A8E" w:rsidRPr="004C3632">
        <w:rPr>
          <w:rFonts w:ascii="Times New Roman" w:eastAsia="Calibri" w:hAnsi="Times New Roman" w:cs="Times New Roman"/>
          <w:sz w:val="24"/>
        </w:rPr>
        <w:t xml:space="preserve"> </w:t>
      </w:r>
      <w:r w:rsidRPr="004C3632">
        <w:rPr>
          <w:rFonts w:ascii="Times New Roman" w:eastAsia="Calibri" w:hAnsi="Times New Roman" w:cs="Times New Roman"/>
          <w:sz w:val="24"/>
        </w:rPr>
        <w:t>nie jest możliwe złożenie załączników w</w:t>
      </w:r>
      <w:r w:rsidR="00652869">
        <w:rPr>
          <w:rFonts w:ascii="Times New Roman" w:eastAsia="Calibri" w:hAnsi="Times New Roman" w:cs="Times New Roman"/>
          <w:sz w:val="24"/>
        </w:rPr>
        <w:t xml:space="preserve"> </w:t>
      </w:r>
      <w:r w:rsidR="00D12846">
        <w:rPr>
          <w:rFonts w:ascii="Times New Roman" w:eastAsia="Calibri" w:hAnsi="Times New Roman" w:cs="Times New Roman"/>
          <w:sz w:val="24"/>
        </w:rPr>
        <w:t>GW</w:t>
      </w:r>
      <w:r w:rsidRPr="004C3632">
        <w:rPr>
          <w:rFonts w:ascii="Times New Roman" w:eastAsia="Calibri" w:hAnsi="Times New Roman" w:cs="Times New Roman"/>
          <w:sz w:val="24"/>
        </w:rPr>
        <w:t>.</w:t>
      </w:r>
    </w:p>
    <w:p w14:paraId="56FA078C" w14:textId="0EA4090F" w:rsidR="00AF4AC9" w:rsidRPr="004C3632" w:rsidRDefault="00AF4AC9" w:rsidP="00206A30">
      <w:pPr>
        <w:numPr>
          <w:ilvl w:val="0"/>
          <w:numId w:val="50"/>
        </w:numPr>
        <w:spacing w:after="120"/>
        <w:ind w:left="284" w:hanging="284"/>
        <w:jc w:val="both"/>
        <w:rPr>
          <w:rFonts w:ascii="Times New Roman" w:eastAsia="Calibri" w:hAnsi="Times New Roman" w:cs="Times New Roman"/>
          <w:sz w:val="24"/>
        </w:rPr>
      </w:pPr>
      <w:r w:rsidRPr="004C3632">
        <w:rPr>
          <w:rFonts w:ascii="Times New Roman" w:eastAsia="Calibri" w:hAnsi="Times New Roman" w:cs="Times New Roman"/>
          <w:sz w:val="24"/>
        </w:rPr>
        <w:t xml:space="preserve">Dopuszczalne jest </w:t>
      </w:r>
      <w:r w:rsidRPr="004C3632">
        <w:rPr>
          <w:rFonts w:ascii="Times New Roman" w:eastAsia="Calibri" w:hAnsi="Times New Roman" w:cs="Times New Roman"/>
          <w:b/>
          <w:sz w:val="24"/>
        </w:rPr>
        <w:t>jednokrotne</w:t>
      </w:r>
      <w:r w:rsidRPr="004C3632">
        <w:rPr>
          <w:rFonts w:ascii="Times New Roman" w:eastAsia="Calibri" w:hAnsi="Times New Roman" w:cs="Times New Roman"/>
          <w:sz w:val="24"/>
        </w:rPr>
        <w:t xml:space="preserve"> uzupełnienie wniosku </w:t>
      </w:r>
      <w:r w:rsidR="00D31C6B">
        <w:rPr>
          <w:rFonts w:ascii="Times New Roman" w:eastAsia="Calibri" w:hAnsi="Times New Roman" w:cs="Times New Roman"/>
          <w:sz w:val="24"/>
        </w:rPr>
        <w:t>o powierzenie grantu</w:t>
      </w:r>
      <w:r w:rsidRPr="004C3632">
        <w:rPr>
          <w:rFonts w:ascii="Times New Roman" w:eastAsia="Calibri" w:hAnsi="Times New Roman" w:cs="Times New Roman"/>
          <w:sz w:val="24"/>
        </w:rPr>
        <w:t xml:space="preserve"> w zakresie wskazanym przez PARP w wezwaniu.</w:t>
      </w:r>
    </w:p>
    <w:p w14:paraId="51006D1C" w14:textId="79935754" w:rsidR="00AF4AC9" w:rsidRPr="004C3632" w:rsidRDefault="0047503E" w:rsidP="00206A30">
      <w:pPr>
        <w:numPr>
          <w:ilvl w:val="0"/>
          <w:numId w:val="50"/>
        </w:numPr>
        <w:spacing w:after="120"/>
        <w:ind w:left="284" w:hanging="284"/>
        <w:jc w:val="both"/>
        <w:rPr>
          <w:rFonts w:ascii="Times New Roman" w:eastAsia="Calibri" w:hAnsi="Times New Roman" w:cs="Times New Roman"/>
          <w:sz w:val="24"/>
        </w:rPr>
      </w:pPr>
      <w:r>
        <w:rPr>
          <w:rFonts w:ascii="Times New Roman" w:eastAsia="Calibri" w:hAnsi="Times New Roman" w:cs="Times New Roman"/>
          <w:sz w:val="24"/>
        </w:rPr>
        <w:t>Wnioskodawca</w:t>
      </w:r>
      <w:r w:rsidRPr="004C3632">
        <w:rPr>
          <w:rFonts w:ascii="Times New Roman" w:eastAsia="Calibri" w:hAnsi="Times New Roman" w:cs="Times New Roman"/>
          <w:sz w:val="24"/>
        </w:rPr>
        <w:t xml:space="preserve"> </w:t>
      </w:r>
      <w:r w:rsidR="00AF4AC9" w:rsidRPr="004C3632">
        <w:rPr>
          <w:rFonts w:ascii="Times New Roman" w:eastAsia="Calibri" w:hAnsi="Times New Roman" w:cs="Times New Roman"/>
          <w:sz w:val="24"/>
        </w:rPr>
        <w:t>jest zobow</w:t>
      </w:r>
      <w:r w:rsidR="009B1DEB">
        <w:rPr>
          <w:rFonts w:ascii="Times New Roman" w:eastAsia="Calibri" w:hAnsi="Times New Roman" w:cs="Times New Roman"/>
          <w:sz w:val="24"/>
        </w:rPr>
        <w:t xml:space="preserve">iązany do uzupełnienia wniosku </w:t>
      </w:r>
      <w:r w:rsidR="00D31C6B">
        <w:rPr>
          <w:rFonts w:ascii="Times New Roman" w:eastAsia="Calibri" w:hAnsi="Times New Roman" w:cs="Times New Roman"/>
          <w:sz w:val="24"/>
        </w:rPr>
        <w:t>o powierzenie grantu</w:t>
      </w:r>
      <w:r w:rsidR="00AF4AC9" w:rsidRPr="004C3632">
        <w:rPr>
          <w:rFonts w:ascii="Times New Roman" w:eastAsia="Calibri" w:hAnsi="Times New Roman" w:cs="Times New Roman"/>
          <w:sz w:val="24"/>
        </w:rPr>
        <w:t xml:space="preserve"> wyłącznie w zakresie wskazanym w wezwaniu. </w:t>
      </w:r>
    </w:p>
    <w:p w14:paraId="28AFD730" w14:textId="77777777" w:rsidR="00AD6138" w:rsidRPr="00A841E2" w:rsidRDefault="00AD6138" w:rsidP="00206A30">
      <w:pPr>
        <w:numPr>
          <w:ilvl w:val="0"/>
          <w:numId w:val="50"/>
        </w:numPr>
        <w:spacing w:after="120"/>
        <w:ind w:left="284" w:hanging="284"/>
        <w:jc w:val="both"/>
        <w:rPr>
          <w:rFonts w:ascii="Times New Roman" w:eastAsia="Calibri" w:hAnsi="Times New Roman" w:cs="Times New Roman"/>
          <w:sz w:val="24"/>
        </w:rPr>
      </w:pPr>
      <w:r w:rsidRPr="00A841E2">
        <w:rPr>
          <w:rFonts w:ascii="Times New Roman" w:eastAsia="Calibri" w:hAnsi="Times New Roman" w:cs="Times New Roman"/>
          <w:sz w:val="24"/>
        </w:rPr>
        <w:t xml:space="preserve">Uzupełnienie wniosku o powierzenie grantu lub poprawienie w nim oczywistej omyłki dotyczy: </w:t>
      </w:r>
    </w:p>
    <w:p w14:paraId="399D4279" w14:textId="661A3E72" w:rsidR="00AD6138" w:rsidRDefault="00AD6138" w:rsidP="00223CAE">
      <w:pPr>
        <w:numPr>
          <w:ilvl w:val="0"/>
          <w:numId w:val="23"/>
        </w:numPr>
        <w:spacing w:after="120"/>
        <w:ind w:left="851"/>
        <w:jc w:val="both"/>
        <w:rPr>
          <w:rFonts w:ascii="Times New Roman" w:eastAsia="Calibri" w:hAnsi="Times New Roman" w:cs="Times New Roman"/>
          <w:sz w:val="24"/>
        </w:rPr>
      </w:pPr>
      <w:r w:rsidRPr="000B0D64">
        <w:rPr>
          <w:rFonts w:ascii="Times New Roman" w:eastAsia="Calibri" w:hAnsi="Times New Roman" w:cs="Times New Roman"/>
          <w:sz w:val="24"/>
        </w:rPr>
        <w:t>braku wymaganych informacji w cz. I wniosku</w:t>
      </w:r>
      <w:r w:rsidR="00381741" w:rsidRPr="00381741">
        <w:rPr>
          <w:rFonts w:ascii="Times New Roman" w:eastAsia="Calibri" w:hAnsi="Times New Roman" w:cs="Times New Roman"/>
          <w:sz w:val="24"/>
        </w:rPr>
        <w:t xml:space="preserve"> </w:t>
      </w:r>
      <w:r w:rsidR="00381741" w:rsidRPr="00A841E2">
        <w:rPr>
          <w:rFonts w:ascii="Times New Roman" w:eastAsia="Calibri" w:hAnsi="Times New Roman" w:cs="Times New Roman"/>
          <w:sz w:val="24"/>
        </w:rPr>
        <w:t>o powierzenie grantu</w:t>
      </w:r>
      <w:r w:rsidRPr="000B0D64">
        <w:rPr>
          <w:rFonts w:ascii="Times New Roman" w:eastAsia="Calibri" w:hAnsi="Times New Roman" w:cs="Times New Roman"/>
          <w:sz w:val="24"/>
        </w:rPr>
        <w:t>, w szczególności dotyczących terminu i wyn</w:t>
      </w:r>
      <w:r w:rsidR="00825A9A" w:rsidRPr="000B0D64">
        <w:rPr>
          <w:rFonts w:ascii="Times New Roman" w:eastAsia="Calibri" w:hAnsi="Times New Roman" w:cs="Times New Roman"/>
          <w:sz w:val="24"/>
        </w:rPr>
        <w:t>ików konkursu SMEI F1 H2020,</w:t>
      </w:r>
      <w:r w:rsidRPr="000B0D64">
        <w:rPr>
          <w:rFonts w:ascii="Times New Roman" w:eastAsia="Calibri" w:hAnsi="Times New Roman" w:cs="Times New Roman"/>
          <w:sz w:val="24"/>
        </w:rPr>
        <w:t xml:space="preserve"> uzyskania Seal of Excellence</w:t>
      </w:r>
      <w:r w:rsidR="00825A9A" w:rsidRPr="000B0D64">
        <w:rPr>
          <w:rFonts w:ascii="Times New Roman" w:eastAsia="Calibri" w:hAnsi="Times New Roman" w:cs="Times New Roman"/>
          <w:sz w:val="24"/>
        </w:rPr>
        <w:t xml:space="preserve"> oraz ewentualnie </w:t>
      </w:r>
      <w:r w:rsidR="00063BED">
        <w:rPr>
          <w:rFonts w:ascii="Times New Roman" w:eastAsia="Calibri" w:hAnsi="Times New Roman" w:cs="Times New Roman"/>
          <w:sz w:val="24"/>
        </w:rPr>
        <w:t xml:space="preserve">dokumentów </w:t>
      </w:r>
      <w:r w:rsidR="00ED6509">
        <w:rPr>
          <w:rFonts w:ascii="Times New Roman" w:eastAsia="Calibri" w:hAnsi="Times New Roman" w:cs="Times New Roman"/>
          <w:sz w:val="24"/>
        </w:rPr>
        <w:t>wskazujących podstawę</w:t>
      </w:r>
      <w:r w:rsidR="00825A9A" w:rsidRPr="000B0D64">
        <w:rPr>
          <w:rFonts w:ascii="Times New Roman" w:eastAsia="Calibri" w:hAnsi="Times New Roman" w:cs="Times New Roman"/>
          <w:sz w:val="24"/>
        </w:rPr>
        <w:t xml:space="preserve"> dysponowania </w:t>
      </w:r>
      <w:r w:rsidR="00B3658E">
        <w:rPr>
          <w:rFonts w:ascii="Times New Roman" w:eastAsia="Calibri" w:hAnsi="Times New Roman" w:cs="Times New Roman"/>
          <w:sz w:val="24"/>
        </w:rPr>
        <w:t xml:space="preserve">wskazanym we </w:t>
      </w:r>
      <w:r w:rsidR="00B3658E" w:rsidRPr="000B0D64">
        <w:rPr>
          <w:rFonts w:ascii="Times New Roman" w:eastAsia="Calibri" w:hAnsi="Times New Roman" w:cs="Times New Roman"/>
          <w:sz w:val="24"/>
        </w:rPr>
        <w:t>wniosk</w:t>
      </w:r>
      <w:r w:rsidR="00B3658E">
        <w:rPr>
          <w:rFonts w:ascii="Times New Roman" w:eastAsia="Calibri" w:hAnsi="Times New Roman" w:cs="Times New Roman"/>
          <w:sz w:val="24"/>
        </w:rPr>
        <w:t xml:space="preserve">u </w:t>
      </w:r>
      <w:r w:rsidR="00AD508C">
        <w:rPr>
          <w:rFonts w:ascii="Times New Roman" w:eastAsia="Calibri" w:hAnsi="Times New Roman" w:cs="Times New Roman"/>
          <w:sz w:val="24"/>
        </w:rPr>
        <w:t>projektem, który uzyskał</w:t>
      </w:r>
      <w:r w:rsidR="00825A9A" w:rsidRPr="000B0D64">
        <w:rPr>
          <w:rFonts w:ascii="Times New Roman" w:eastAsia="Calibri" w:hAnsi="Times New Roman" w:cs="Times New Roman"/>
          <w:sz w:val="24"/>
        </w:rPr>
        <w:t xml:space="preserve"> Seal</w:t>
      </w:r>
      <w:r w:rsidR="000B0D64" w:rsidRPr="000B0D64">
        <w:rPr>
          <w:rFonts w:ascii="Times New Roman" w:eastAsia="Calibri" w:hAnsi="Times New Roman" w:cs="Times New Roman"/>
          <w:sz w:val="24"/>
        </w:rPr>
        <w:t xml:space="preserve"> of Excellence</w:t>
      </w:r>
      <w:r w:rsidRPr="000B0D64">
        <w:rPr>
          <w:rFonts w:ascii="Times New Roman" w:eastAsia="Calibri" w:hAnsi="Times New Roman" w:cs="Times New Roman"/>
          <w:sz w:val="24"/>
        </w:rPr>
        <w:t>;</w:t>
      </w:r>
    </w:p>
    <w:p w14:paraId="38A14D14" w14:textId="3771AA60" w:rsidR="00EA4E5F" w:rsidRDefault="00EA4E5F" w:rsidP="00223CAE">
      <w:pPr>
        <w:numPr>
          <w:ilvl w:val="0"/>
          <w:numId w:val="23"/>
        </w:numPr>
        <w:spacing w:after="120"/>
        <w:ind w:left="851"/>
        <w:jc w:val="both"/>
        <w:rPr>
          <w:rFonts w:ascii="Times New Roman" w:eastAsia="Calibri" w:hAnsi="Times New Roman" w:cs="Times New Roman"/>
          <w:sz w:val="24"/>
        </w:rPr>
      </w:pPr>
      <w:r>
        <w:rPr>
          <w:rFonts w:ascii="Times New Roman" w:eastAsia="Calibri" w:hAnsi="Times New Roman" w:cs="Times New Roman"/>
          <w:sz w:val="24"/>
        </w:rPr>
        <w:t>rozbieżności</w:t>
      </w:r>
      <w:r w:rsidR="007D2F9C">
        <w:rPr>
          <w:rFonts w:ascii="Times New Roman" w:eastAsia="Calibri" w:hAnsi="Times New Roman" w:cs="Times New Roman"/>
          <w:sz w:val="24"/>
        </w:rPr>
        <w:t xml:space="preserve"> treści </w:t>
      </w:r>
      <w:r w:rsidR="00AD508C">
        <w:rPr>
          <w:rFonts w:ascii="Times New Roman" w:eastAsia="Calibri" w:hAnsi="Times New Roman" w:cs="Times New Roman"/>
          <w:sz w:val="24"/>
        </w:rPr>
        <w:t xml:space="preserve">projektu wskazanego we </w:t>
      </w:r>
      <w:r>
        <w:rPr>
          <w:rFonts w:ascii="Times New Roman" w:eastAsia="Calibri" w:hAnsi="Times New Roman" w:cs="Times New Roman"/>
          <w:sz w:val="24"/>
        </w:rPr>
        <w:t xml:space="preserve">wniosku, który uzyskał </w:t>
      </w:r>
      <w:r w:rsidRPr="00EA4E5F">
        <w:rPr>
          <w:rFonts w:ascii="Times New Roman" w:eastAsia="Calibri" w:hAnsi="Times New Roman" w:cs="Times New Roman"/>
          <w:sz w:val="24"/>
        </w:rPr>
        <w:t>certyfikat Seal of Excellence w SMEI F1 H2020 z jego opisem w cz. I</w:t>
      </w:r>
      <w:r w:rsidR="007D2F9C">
        <w:rPr>
          <w:rFonts w:ascii="Times New Roman" w:eastAsia="Calibri" w:hAnsi="Times New Roman" w:cs="Times New Roman"/>
          <w:sz w:val="24"/>
        </w:rPr>
        <w:t xml:space="preserve"> wniosku o powierzenie grantu</w:t>
      </w:r>
      <w:r w:rsidRPr="00EA4E5F">
        <w:rPr>
          <w:rFonts w:ascii="Times New Roman" w:eastAsia="Calibri" w:hAnsi="Times New Roman" w:cs="Times New Roman"/>
          <w:sz w:val="24"/>
        </w:rPr>
        <w:t>;</w:t>
      </w:r>
    </w:p>
    <w:p w14:paraId="7CDF1B7C" w14:textId="17DA994C" w:rsidR="00AD6138" w:rsidRPr="00A841E2" w:rsidRDefault="00AD6138" w:rsidP="00223CAE">
      <w:pPr>
        <w:numPr>
          <w:ilvl w:val="0"/>
          <w:numId w:val="23"/>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braku wymaganego załącznika do wniosku o powierzenie grantu (w tym złożenia załącznika w innym formacie, niż określony w § 6 ust</w:t>
      </w:r>
      <w:r w:rsidR="00933CC9">
        <w:rPr>
          <w:rFonts w:ascii="Times New Roman" w:eastAsia="Calibri" w:hAnsi="Times New Roman" w:cs="Times New Roman"/>
          <w:sz w:val="24"/>
        </w:rPr>
        <w:t>.</w:t>
      </w:r>
      <w:r w:rsidRPr="00A841E2">
        <w:rPr>
          <w:rFonts w:ascii="Times New Roman" w:eastAsia="Calibri" w:hAnsi="Times New Roman" w:cs="Times New Roman"/>
          <w:sz w:val="24"/>
        </w:rPr>
        <w:t xml:space="preserve"> 14, złożenia załącznika w wersji uniemożliwiającej jego odczytanie);</w:t>
      </w:r>
    </w:p>
    <w:p w14:paraId="162E5617" w14:textId="3837B215" w:rsidR="00AD6138" w:rsidRPr="00A841E2" w:rsidRDefault="00AD6138" w:rsidP="00223CAE">
      <w:pPr>
        <w:numPr>
          <w:ilvl w:val="0"/>
          <w:numId w:val="23"/>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braku kompletności przesłanego załącznika (tj. braku stron, braków w podpisach, pieczęciach, </w:t>
      </w:r>
      <w:r w:rsidRPr="005425CC">
        <w:rPr>
          <w:rFonts w:ascii="Times New Roman" w:hAnsi="Times New Roman"/>
          <w:sz w:val="24"/>
        </w:rPr>
        <w:t>w potwierdzeniach za zgodność z oryginałem</w:t>
      </w:r>
      <w:r w:rsidRPr="00A841E2">
        <w:rPr>
          <w:rFonts w:ascii="Times New Roman" w:eastAsia="Calibri" w:hAnsi="Times New Roman" w:cs="Times New Roman"/>
          <w:sz w:val="24"/>
        </w:rPr>
        <w:t>);</w:t>
      </w:r>
    </w:p>
    <w:p w14:paraId="0AA97585" w14:textId="77777777" w:rsidR="00AD6138" w:rsidRPr="00A841E2" w:rsidRDefault="00AD6138" w:rsidP="00223CAE">
      <w:pPr>
        <w:numPr>
          <w:ilvl w:val="0"/>
          <w:numId w:val="23"/>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sporządzenia załącznika na niewłaściwym wzorze;</w:t>
      </w:r>
    </w:p>
    <w:p w14:paraId="115CCE50" w14:textId="5C01FF66" w:rsidR="00AD6138" w:rsidRPr="00A841E2" w:rsidRDefault="00AD6138" w:rsidP="00223CAE">
      <w:pPr>
        <w:numPr>
          <w:ilvl w:val="0"/>
          <w:numId w:val="23"/>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braku lub błędów w oświadczeniu o złożeniu wniosku o powierzenie grantu w GW, niezgodności podpisów z reprezentacją, nieczytelności podpisów, braków w pieczęciach; </w:t>
      </w:r>
    </w:p>
    <w:p w14:paraId="3063869D" w14:textId="53AFD840" w:rsidR="00AD6138" w:rsidRDefault="00AD6138" w:rsidP="00223CAE">
      <w:pPr>
        <w:numPr>
          <w:ilvl w:val="0"/>
          <w:numId w:val="23"/>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podania </w:t>
      </w:r>
      <w:r w:rsidR="00381741" w:rsidRPr="00A841E2">
        <w:rPr>
          <w:rFonts w:ascii="Times New Roman" w:eastAsia="Calibri" w:hAnsi="Times New Roman" w:cs="Times New Roman"/>
          <w:sz w:val="24"/>
        </w:rPr>
        <w:t xml:space="preserve">w cz. II oraz w cz. III wniosku o powierzenie grantu </w:t>
      </w:r>
      <w:r w:rsidRPr="00A841E2">
        <w:rPr>
          <w:rFonts w:ascii="Times New Roman" w:eastAsia="Calibri" w:hAnsi="Times New Roman" w:cs="Times New Roman"/>
          <w:sz w:val="24"/>
        </w:rPr>
        <w:t xml:space="preserve">informacji niezgodnych z dokumentem rejestrowym; </w:t>
      </w:r>
    </w:p>
    <w:p w14:paraId="4F897B1E" w14:textId="77777777" w:rsidR="00AD6138" w:rsidRPr="00A841E2" w:rsidRDefault="00AD6138" w:rsidP="00223CAE">
      <w:pPr>
        <w:numPr>
          <w:ilvl w:val="0"/>
          <w:numId w:val="23"/>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błędów w pkt XI wniosku o </w:t>
      </w:r>
      <w:r>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 możliwość poprawy dotyczy niespójności z informacjami zawartymi w pkt IX wniosku o </w:t>
      </w:r>
      <w:r>
        <w:rPr>
          <w:rFonts w:ascii="Times New Roman" w:eastAsia="Calibri" w:hAnsi="Times New Roman" w:cs="Times New Roman"/>
          <w:sz w:val="24"/>
        </w:rPr>
        <w:t>powierzenie grantu</w:t>
      </w:r>
      <w:r w:rsidRPr="00A841E2">
        <w:rPr>
          <w:rFonts w:ascii="Times New Roman" w:eastAsia="Calibri" w:hAnsi="Times New Roman" w:cs="Times New Roman"/>
          <w:sz w:val="24"/>
        </w:rPr>
        <w:t>;</w:t>
      </w:r>
    </w:p>
    <w:p w14:paraId="6844FCA5" w14:textId="3AC7A34B" w:rsidR="00AD6138" w:rsidRPr="00A841E2" w:rsidRDefault="00AD6138" w:rsidP="00223CAE">
      <w:pPr>
        <w:numPr>
          <w:ilvl w:val="0"/>
          <w:numId w:val="23"/>
        </w:numPr>
        <w:spacing w:after="120"/>
        <w:ind w:left="851"/>
        <w:jc w:val="both"/>
        <w:rPr>
          <w:rFonts w:ascii="Times New Roman" w:eastAsia="Calibri" w:hAnsi="Times New Roman" w:cs="Times New Roman"/>
          <w:sz w:val="24"/>
        </w:rPr>
      </w:pPr>
      <w:r w:rsidRPr="00A841E2">
        <w:rPr>
          <w:rFonts w:ascii="Times New Roman" w:eastAsia="Calibri" w:hAnsi="Times New Roman" w:cs="Times New Roman"/>
          <w:sz w:val="24"/>
        </w:rPr>
        <w:t xml:space="preserve">niespójności informacji ujętych w pkt </w:t>
      </w:r>
      <w:r w:rsidR="00D8051C">
        <w:rPr>
          <w:rFonts w:ascii="Times New Roman" w:eastAsia="Calibri" w:hAnsi="Times New Roman" w:cs="Times New Roman"/>
          <w:sz w:val="24"/>
        </w:rPr>
        <w:t xml:space="preserve">VII lub </w:t>
      </w:r>
      <w:r w:rsidRPr="00A841E2">
        <w:rPr>
          <w:rFonts w:ascii="Times New Roman" w:eastAsia="Calibri" w:hAnsi="Times New Roman" w:cs="Times New Roman"/>
          <w:sz w:val="24"/>
        </w:rPr>
        <w:t xml:space="preserve">VIII wniosku o </w:t>
      </w:r>
      <w:r>
        <w:rPr>
          <w:rFonts w:ascii="Times New Roman" w:eastAsia="Calibri" w:hAnsi="Times New Roman" w:cs="Times New Roman"/>
          <w:sz w:val="24"/>
        </w:rPr>
        <w:t>powierzenie grantu</w:t>
      </w:r>
      <w:r w:rsidRPr="00A841E2">
        <w:rPr>
          <w:rFonts w:ascii="Times New Roman" w:eastAsia="Calibri" w:hAnsi="Times New Roman" w:cs="Times New Roman"/>
          <w:sz w:val="24"/>
        </w:rPr>
        <w:t xml:space="preserve">, </w:t>
      </w:r>
      <w:r w:rsidR="007A041A">
        <w:rPr>
          <w:rFonts w:ascii="Times New Roman" w:eastAsia="Calibri" w:hAnsi="Times New Roman" w:cs="Times New Roman"/>
          <w:sz w:val="24"/>
        </w:rPr>
        <w:t>jeśli</w:t>
      </w:r>
      <w:r w:rsidR="007A041A" w:rsidRPr="00A841E2">
        <w:rPr>
          <w:rFonts w:ascii="Times New Roman" w:eastAsia="Calibri" w:hAnsi="Times New Roman" w:cs="Times New Roman"/>
          <w:sz w:val="24"/>
        </w:rPr>
        <w:t xml:space="preserve"> </w:t>
      </w:r>
      <w:r w:rsidRPr="00A841E2">
        <w:rPr>
          <w:rFonts w:ascii="Times New Roman" w:eastAsia="Calibri" w:hAnsi="Times New Roman" w:cs="Times New Roman"/>
          <w:sz w:val="24"/>
        </w:rPr>
        <w:t>mają</w:t>
      </w:r>
      <w:r w:rsidR="007A041A">
        <w:rPr>
          <w:rFonts w:ascii="Times New Roman" w:eastAsia="Calibri" w:hAnsi="Times New Roman" w:cs="Times New Roman"/>
          <w:sz w:val="24"/>
        </w:rPr>
        <w:t xml:space="preserve"> one</w:t>
      </w:r>
      <w:r w:rsidRPr="00A841E2">
        <w:rPr>
          <w:rFonts w:ascii="Times New Roman" w:eastAsia="Calibri" w:hAnsi="Times New Roman" w:cs="Times New Roman"/>
          <w:sz w:val="24"/>
        </w:rPr>
        <w:t xml:space="preserve"> charakter oczywistej omyłki.</w:t>
      </w:r>
    </w:p>
    <w:p w14:paraId="1866B08D" w14:textId="17D045FF" w:rsidR="00AF4AC9" w:rsidRPr="008958BA" w:rsidRDefault="00AF4AC9" w:rsidP="00206A30">
      <w:pPr>
        <w:numPr>
          <w:ilvl w:val="0"/>
          <w:numId w:val="50"/>
        </w:numPr>
        <w:spacing w:after="120"/>
        <w:ind w:left="426" w:hanging="426"/>
        <w:jc w:val="both"/>
        <w:rPr>
          <w:rFonts w:ascii="Times New Roman" w:eastAsia="Calibri" w:hAnsi="Times New Roman" w:cs="Times New Roman"/>
          <w:sz w:val="24"/>
        </w:rPr>
      </w:pPr>
      <w:r w:rsidRPr="008958BA">
        <w:rPr>
          <w:rFonts w:ascii="Times New Roman" w:eastAsia="Calibri" w:hAnsi="Times New Roman" w:cs="Times New Roman"/>
          <w:sz w:val="24"/>
        </w:rPr>
        <w:t xml:space="preserve">Jeżeli wnioskodawca nie uzupełni wniosku </w:t>
      </w:r>
      <w:r w:rsidR="00D31C6B">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we wskazanym w wezwaniu terminie lub zakresie lub wprowadzi we wniosku </w:t>
      </w:r>
      <w:r w:rsidR="00D0140D">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zmiany inne niż wskazane w wezwaniu, wniosek </w:t>
      </w:r>
      <w:r w:rsidR="0065130F">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w:t>
      </w:r>
      <w:r w:rsidRPr="008958BA">
        <w:rPr>
          <w:rFonts w:ascii="Times New Roman" w:eastAsia="Calibri" w:hAnsi="Times New Roman" w:cs="Times New Roman"/>
          <w:b/>
          <w:sz w:val="24"/>
        </w:rPr>
        <w:t>zostanie pozostawiony bez rozpatrzenia i, w konsekwencji, nie zostanie dopuszczony do oceny lub do dalszej oceny</w:t>
      </w:r>
      <w:r w:rsidRPr="008958BA">
        <w:rPr>
          <w:rFonts w:ascii="Times New Roman" w:eastAsia="Calibri" w:hAnsi="Times New Roman" w:cs="Times New Roman"/>
          <w:sz w:val="24"/>
        </w:rPr>
        <w:t xml:space="preserve">. </w:t>
      </w:r>
    </w:p>
    <w:p w14:paraId="368FE1D9" w14:textId="1EDDECD9" w:rsidR="00AF4AC9" w:rsidRPr="004204E9" w:rsidRDefault="00AF4AC9" w:rsidP="00466AA3">
      <w:pPr>
        <w:numPr>
          <w:ilvl w:val="0"/>
          <w:numId w:val="50"/>
        </w:numPr>
        <w:spacing w:after="120"/>
        <w:ind w:left="426" w:hanging="426"/>
        <w:jc w:val="both"/>
        <w:rPr>
          <w:rFonts w:ascii="Times New Roman" w:eastAsia="Calibri" w:hAnsi="Times New Roman" w:cs="Times New Roman"/>
          <w:sz w:val="24"/>
        </w:rPr>
      </w:pPr>
      <w:r w:rsidRPr="008958BA">
        <w:rPr>
          <w:rFonts w:ascii="Times New Roman" w:hAnsi="Times New Roman" w:cs="Times New Roman"/>
          <w:sz w:val="24"/>
        </w:rPr>
        <w:lastRenderedPageBreak/>
        <w:t xml:space="preserve">Warunkiem uznania, że wniosek o </w:t>
      </w:r>
      <w:r w:rsidR="0065130F">
        <w:rPr>
          <w:rFonts w:ascii="Times New Roman" w:hAnsi="Times New Roman" w:cs="Times New Roman"/>
          <w:sz w:val="24"/>
        </w:rPr>
        <w:t xml:space="preserve">powierzenie grantu </w:t>
      </w:r>
      <w:r w:rsidRPr="008958BA">
        <w:rPr>
          <w:rFonts w:ascii="Times New Roman" w:hAnsi="Times New Roman" w:cs="Times New Roman"/>
          <w:sz w:val="24"/>
        </w:rPr>
        <w:t xml:space="preserve">został uzupełniony jest formalne potwierdzenie złożenia nowej wersji wniosku </w:t>
      </w:r>
      <w:r w:rsidR="00D0140D">
        <w:rPr>
          <w:rFonts w:ascii="Times New Roman" w:hAnsi="Times New Roman" w:cs="Times New Roman"/>
          <w:sz w:val="24"/>
        </w:rPr>
        <w:t>o powierzenie grantu</w:t>
      </w:r>
      <w:r w:rsidRPr="008958BA">
        <w:rPr>
          <w:rFonts w:ascii="Times New Roman" w:hAnsi="Times New Roman" w:cs="Times New Roman"/>
          <w:sz w:val="24"/>
        </w:rPr>
        <w:t xml:space="preserve"> w</w:t>
      </w:r>
      <w:r w:rsidR="00652869">
        <w:rPr>
          <w:rFonts w:ascii="Times New Roman" w:hAnsi="Times New Roman" w:cs="Times New Roman"/>
          <w:sz w:val="24"/>
        </w:rPr>
        <w:t xml:space="preserve"> </w:t>
      </w:r>
      <w:r w:rsidR="00D12846">
        <w:rPr>
          <w:rFonts w:ascii="Times New Roman" w:hAnsi="Times New Roman" w:cs="Times New Roman"/>
          <w:sz w:val="24"/>
        </w:rPr>
        <w:t>GW</w:t>
      </w:r>
      <w:r w:rsidRPr="008958BA">
        <w:rPr>
          <w:rFonts w:ascii="Times New Roman" w:hAnsi="Times New Roman" w:cs="Times New Roman"/>
          <w:sz w:val="24"/>
        </w:rPr>
        <w:t>. W tym celu wnioskodawca, odpowiednio do postanowień §</w:t>
      </w:r>
      <w:r w:rsidR="00D0140D">
        <w:rPr>
          <w:rFonts w:ascii="Times New Roman" w:hAnsi="Times New Roman" w:cs="Times New Roman"/>
          <w:sz w:val="24"/>
        </w:rPr>
        <w:t xml:space="preserve"> </w:t>
      </w:r>
      <w:r w:rsidRPr="008958BA">
        <w:rPr>
          <w:rFonts w:ascii="Times New Roman" w:hAnsi="Times New Roman" w:cs="Times New Roman"/>
          <w:sz w:val="24"/>
        </w:rPr>
        <w:t xml:space="preserve">6 ust. </w:t>
      </w:r>
      <w:r w:rsidR="00225A8E">
        <w:rPr>
          <w:rFonts w:ascii="Times New Roman" w:hAnsi="Times New Roman" w:cs="Times New Roman"/>
          <w:sz w:val="24"/>
        </w:rPr>
        <w:t>9</w:t>
      </w:r>
      <w:r w:rsidRPr="004204E9">
        <w:rPr>
          <w:rFonts w:ascii="Times New Roman" w:eastAsia="Calibri" w:hAnsi="Times New Roman" w:cs="Times New Roman"/>
          <w:sz w:val="24"/>
        </w:rPr>
        <w:t xml:space="preserve">, załącza w Generatorze Wniosków skan oświadczenia o złożeniu wniosku </w:t>
      </w:r>
      <w:r w:rsidR="00D0140D">
        <w:rPr>
          <w:rFonts w:ascii="Times New Roman" w:eastAsia="Calibri" w:hAnsi="Times New Roman" w:cs="Times New Roman"/>
          <w:sz w:val="24"/>
        </w:rPr>
        <w:t>o powierzenie grantu</w:t>
      </w:r>
      <w:r w:rsidRPr="004204E9">
        <w:rPr>
          <w:rFonts w:ascii="Times New Roman" w:eastAsia="Calibri" w:hAnsi="Times New Roman" w:cs="Times New Roman"/>
          <w:sz w:val="24"/>
        </w:rPr>
        <w:t xml:space="preserve">, o treści zgodnej z załącznikiem nr </w:t>
      </w:r>
      <w:r w:rsidR="00ED382B">
        <w:rPr>
          <w:rFonts w:ascii="Times New Roman" w:eastAsia="Calibri" w:hAnsi="Times New Roman" w:cs="Times New Roman"/>
          <w:sz w:val="24"/>
        </w:rPr>
        <w:t>6</w:t>
      </w:r>
      <w:r w:rsidR="00ED382B" w:rsidRPr="004204E9">
        <w:rPr>
          <w:rFonts w:ascii="Times New Roman" w:eastAsia="Calibri" w:hAnsi="Times New Roman" w:cs="Times New Roman"/>
          <w:sz w:val="24"/>
        </w:rPr>
        <w:t xml:space="preserve"> </w:t>
      </w:r>
      <w:r w:rsidRPr="004204E9">
        <w:rPr>
          <w:rFonts w:ascii="Times New Roman" w:eastAsia="Calibri" w:hAnsi="Times New Roman" w:cs="Times New Roman"/>
          <w:sz w:val="24"/>
        </w:rPr>
        <w:t xml:space="preserve">do </w:t>
      </w:r>
      <w:r w:rsidR="00D0140D">
        <w:rPr>
          <w:rFonts w:ascii="Times New Roman" w:eastAsia="Calibri" w:hAnsi="Times New Roman" w:cs="Times New Roman"/>
          <w:sz w:val="24"/>
        </w:rPr>
        <w:t>R</w:t>
      </w:r>
      <w:r w:rsidRPr="004204E9">
        <w:rPr>
          <w:rFonts w:ascii="Times New Roman" w:eastAsia="Calibri" w:hAnsi="Times New Roman" w:cs="Times New Roman"/>
          <w:sz w:val="24"/>
        </w:rPr>
        <w:t>egulaminu</w:t>
      </w:r>
      <w:r w:rsidR="00D0140D">
        <w:rPr>
          <w:rFonts w:ascii="Times New Roman" w:eastAsia="Calibri" w:hAnsi="Times New Roman" w:cs="Times New Roman"/>
          <w:sz w:val="24"/>
        </w:rPr>
        <w:t xml:space="preserve"> </w:t>
      </w:r>
      <w:r w:rsidR="00527255">
        <w:rPr>
          <w:rFonts w:ascii="Times New Roman" w:eastAsia="Calibri" w:hAnsi="Times New Roman" w:cs="Times New Roman"/>
          <w:sz w:val="24"/>
        </w:rPr>
        <w:t>nabor</w:t>
      </w:r>
      <w:r w:rsidR="00D0140D">
        <w:rPr>
          <w:rFonts w:ascii="Times New Roman" w:eastAsia="Calibri" w:hAnsi="Times New Roman" w:cs="Times New Roman"/>
          <w:sz w:val="24"/>
        </w:rPr>
        <w:t>u</w:t>
      </w:r>
      <w:r w:rsidRPr="004204E9">
        <w:rPr>
          <w:rFonts w:ascii="Times New Roman" w:eastAsia="Calibri" w:hAnsi="Times New Roman" w:cs="Times New Roman"/>
          <w:sz w:val="24"/>
        </w:rPr>
        <w:t xml:space="preserve">. </w:t>
      </w:r>
    </w:p>
    <w:p w14:paraId="48D80664" w14:textId="5D695D28" w:rsidR="00AF4AC9" w:rsidRPr="004204E9" w:rsidRDefault="00AF4AC9" w:rsidP="00466AA3">
      <w:pPr>
        <w:numPr>
          <w:ilvl w:val="0"/>
          <w:numId w:val="50"/>
        </w:numPr>
        <w:spacing w:after="120"/>
        <w:ind w:left="426" w:hanging="426"/>
        <w:jc w:val="both"/>
        <w:rPr>
          <w:rStyle w:val="Hipercze"/>
          <w:rFonts w:ascii="Times New Roman" w:hAnsi="Times New Roman"/>
          <w:bCs/>
          <w:color w:val="auto"/>
          <w:sz w:val="24"/>
        </w:rPr>
      </w:pPr>
      <w:r w:rsidRPr="004204E9">
        <w:rPr>
          <w:rFonts w:ascii="Times New Roman" w:eastAsia="Calibri" w:hAnsi="Times New Roman" w:cs="Times New Roman"/>
          <w:sz w:val="24"/>
        </w:rPr>
        <w:t xml:space="preserve">Załączenie w </w:t>
      </w:r>
      <w:r w:rsidR="00D12846">
        <w:rPr>
          <w:rFonts w:ascii="Times New Roman" w:eastAsia="Calibri" w:hAnsi="Times New Roman" w:cs="Times New Roman"/>
          <w:sz w:val="24"/>
        </w:rPr>
        <w:t>GW</w:t>
      </w:r>
      <w:r w:rsidRPr="004204E9">
        <w:rPr>
          <w:rFonts w:ascii="Times New Roman" w:eastAsia="Calibri" w:hAnsi="Times New Roman" w:cs="Times New Roman"/>
          <w:sz w:val="24"/>
        </w:rPr>
        <w:t xml:space="preserve"> skanu oświadczenia musi nastąpić </w:t>
      </w:r>
      <w:r w:rsidRPr="00D31C6B">
        <w:rPr>
          <w:rFonts w:ascii="Times New Roman" w:eastAsia="Calibri" w:hAnsi="Times New Roman" w:cs="Times New Roman"/>
          <w:sz w:val="24"/>
        </w:rPr>
        <w:t xml:space="preserve">w terminie 2 dni roboczych od dnia, w którym nastąpiło uzupełnienie lub poprawienie wniosku </w:t>
      </w:r>
      <w:r w:rsidR="00D0140D">
        <w:rPr>
          <w:rFonts w:ascii="Times New Roman" w:eastAsia="Calibri" w:hAnsi="Times New Roman" w:cs="Times New Roman"/>
          <w:sz w:val="24"/>
        </w:rPr>
        <w:t>o</w:t>
      </w:r>
      <w:r w:rsidR="00D12846">
        <w:rPr>
          <w:rFonts w:ascii="Times New Roman" w:eastAsia="Calibri" w:hAnsi="Times New Roman" w:cs="Times New Roman"/>
          <w:sz w:val="24"/>
        </w:rPr>
        <w:t> </w:t>
      </w:r>
      <w:r w:rsidR="00D0140D">
        <w:rPr>
          <w:rFonts w:ascii="Times New Roman" w:eastAsia="Calibri" w:hAnsi="Times New Roman" w:cs="Times New Roman"/>
          <w:sz w:val="24"/>
        </w:rPr>
        <w:t>powierzenie grantu</w:t>
      </w:r>
      <w:r w:rsidRPr="00D31C6B">
        <w:rPr>
          <w:rFonts w:ascii="Times New Roman" w:hAnsi="Times New Roman" w:cs="Times New Roman"/>
          <w:sz w:val="24"/>
        </w:rPr>
        <w:t xml:space="preserve"> w Generatorze Wniosków. Przepis §</w:t>
      </w:r>
      <w:r w:rsidR="008958BA" w:rsidRPr="00D31C6B">
        <w:rPr>
          <w:rFonts w:ascii="Times New Roman" w:hAnsi="Times New Roman" w:cs="Times New Roman"/>
          <w:sz w:val="24"/>
        </w:rPr>
        <w:t xml:space="preserve"> </w:t>
      </w:r>
      <w:r w:rsidRPr="00D31C6B">
        <w:rPr>
          <w:rFonts w:ascii="Times New Roman" w:hAnsi="Times New Roman" w:cs="Times New Roman"/>
          <w:sz w:val="24"/>
        </w:rPr>
        <w:t xml:space="preserve">6 ust. </w:t>
      </w:r>
      <w:r w:rsidR="00225A8E">
        <w:rPr>
          <w:rFonts w:ascii="Times New Roman" w:hAnsi="Times New Roman" w:cs="Times New Roman"/>
          <w:sz w:val="24"/>
        </w:rPr>
        <w:t>11</w:t>
      </w:r>
      <w:r w:rsidR="00225A8E" w:rsidRPr="00D31C6B">
        <w:rPr>
          <w:rFonts w:ascii="Times New Roman" w:hAnsi="Times New Roman" w:cs="Times New Roman"/>
          <w:sz w:val="24"/>
        </w:rPr>
        <w:t xml:space="preserve"> </w:t>
      </w:r>
      <w:r w:rsidRPr="00D31C6B">
        <w:rPr>
          <w:rFonts w:ascii="Times New Roman" w:hAnsi="Times New Roman" w:cs="Times New Roman"/>
          <w:sz w:val="24"/>
        </w:rPr>
        <w:t>stosuje się odpowiednio.</w:t>
      </w:r>
    </w:p>
    <w:p w14:paraId="227A0BE3" w14:textId="2C1A01A2" w:rsidR="00AF4AC9" w:rsidRPr="008958BA" w:rsidRDefault="00AF4AC9" w:rsidP="00466AA3">
      <w:pPr>
        <w:numPr>
          <w:ilvl w:val="0"/>
          <w:numId w:val="50"/>
        </w:numPr>
        <w:spacing w:after="120"/>
        <w:ind w:left="426" w:hanging="426"/>
        <w:jc w:val="both"/>
        <w:rPr>
          <w:rFonts w:ascii="Times New Roman" w:eastAsia="Calibri" w:hAnsi="Times New Roman" w:cs="Times New Roman"/>
          <w:sz w:val="24"/>
        </w:rPr>
      </w:pPr>
      <w:r w:rsidRPr="004204E9">
        <w:rPr>
          <w:rFonts w:ascii="Times New Roman" w:eastAsia="Calibri" w:hAnsi="Times New Roman" w:cs="Times New Roman"/>
          <w:sz w:val="24"/>
        </w:rPr>
        <w:t>Oświadczenie</w:t>
      </w:r>
      <w:r w:rsidR="002A5C1E">
        <w:rPr>
          <w:rFonts w:ascii="Times New Roman" w:eastAsia="Calibri" w:hAnsi="Times New Roman" w:cs="Times New Roman"/>
          <w:sz w:val="24"/>
        </w:rPr>
        <w:t>,</w:t>
      </w:r>
      <w:r w:rsidRPr="004204E9">
        <w:rPr>
          <w:rFonts w:ascii="Times New Roman" w:eastAsia="Calibri" w:hAnsi="Times New Roman" w:cs="Times New Roman"/>
          <w:sz w:val="24"/>
        </w:rPr>
        <w:t xml:space="preserve"> o którym mowa w ust. </w:t>
      </w:r>
      <w:r w:rsidR="00424588">
        <w:rPr>
          <w:rFonts w:ascii="Times New Roman" w:eastAsia="Calibri" w:hAnsi="Times New Roman" w:cs="Times New Roman"/>
          <w:sz w:val="24"/>
        </w:rPr>
        <w:t>8</w:t>
      </w:r>
      <w:r w:rsidRPr="004204E9">
        <w:rPr>
          <w:rFonts w:ascii="Times New Roman" w:eastAsia="Calibri" w:hAnsi="Times New Roman" w:cs="Times New Roman"/>
          <w:sz w:val="24"/>
        </w:rPr>
        <w:t xml:space="preserve">, będzie dostępne w Generatorze Wniosków po naciśnięciu </w:t>
      </w:r>
      <w:r w:rsidRPr="008958BA">
        <w:rPr>
          <w:rFonts w:ascii="Times New Roman" w:eastAsia="Calibri" w:hAnsi="Times New Roman" w:cs="Times New Roman"/>
          <w:sz w:val="24"/>
        </w:rPr>
        <w:t>przycisku „Uzupełnij wniosek”.</w:t>
      </w:r>
    </w:p>
    <w:p w14:paraId="3F26C9F9" w14:textId="44881FB6" w:rsidR="00AF4AC9" w:rsidRPr="008958BA" w:rsidRDefault="00AF4AC9" w:rsidP="00466AA3">
      <w:pPr>
        <w:numPr>
          <w:ilvl w:val="0"/>
          <w:numId w:val="50"/>
        </w:numPr>
        <w:spacing w:after="120"/>
        <w:ind w:left="426" w:hanging="426"/>
        <w:jc w:val="both"/>
        <w:rPr>
          <w:rFonts w:ascii="Times New Roman" w:eastAsia="Calibri" w:hAnsi="Times New Roman" w:cs="Times New Roman"/>
          <w:sz w:val="24"/>
        </w:rPr>
      </w:pPr>
      <w:r w:rsidRPr="008958BA">
        <w:rPr>
          <w:rFonts w:ascii="Times New Roman" w:eastAsia="Calibri" w:hAnsi="Times New Roman" w:cs="Times New Roman"/>
          <w:sz w:val="24"/>
        </w:rPr>
        <w:t xml:space="preserve">Wnioskodawca dokonuje formalnego potwierdzenia złożenia wniosku o </w:t>
      </w:r>
      <w:r w:rsidR="008958BA">
        <w:rPr>
          <w:rFonts w:ascii="Times New Roman" w:eastAsia="Calibri" w:hAnsi="Times New Roman" w:cs="Times New Roman"/>
          <w:sz w:val="24"/>
        </w:rPr>
        <w:t xml:space="preserve">powierzenie grantu </w:t>
      </w:r>
      <w:r w:rsidRPr="008958BA">
        <w:rPr>
          <w:rFonts w:ascii="Times New Roman" w:eastAsia="Calibri" w:hAnsi="Times New Roman" w:cs="Times New Roman"/>
          <w:sz w:val="24"/>
        </w:rPr>
        <w:t>również wówczas, gdy uzupełnieniu podlegają załączniki składane wyłącznie w formie papierowej lub w formie elektronicznej na nośniku danych (np. CD, DVD).</w:t>
      </w:r>
    </w:p>
    <w:p w14:paraId="4E1F2C60" w14:textId="54675FE5" w:rsidR="00AF4AC9" w:rsidRPr="00D0140D" w:rsidRDefault="00AF4AC9" w:rsidP="00466AA3">
      <w:pPr>
        <w:numPr>
          <w:ilvl w:val="0"/>
          <w:numId w:val="50"/>
        </w:numPr>
        <w:spacing w:after="120"/>
        <w:ind w:left="426" w:hanging="426"/>
        <w:jc w:val="both"/>
        <w:rPr>
          <w:rFonts w:ascii="Times New Roman" w:eastAsia="Calibri" w:hAnsi="Times New Roman" w:cs="Times New Roman"/>
          <w:sz w:val="24"/>
        </w:rPr>
      </w:pPr>
      <w:r w:rsidRPr="004204E9">
        <w:rPr>
          <w:rFonts w:ascii="Times New Roman" w:eastAsia="Calibri" w:hAnsi="Times New Roman" w:cs="Times New Roman"/>
          <w:sz w:val="24"/>
        </w:rPr>
        <w:t xml:space="preserve">PARP do 30 czerwca 2024 r. przechowuje w swoim systemie informatycznym wnioski </w:t>
      </w:r>
      <w:r w:rsidR="00D0140D">
        <w:rPr>
          <w:rFonts w:ascii="Times New Roman" w:eastAsia="Calibri" w:hAnsi="Times New Roman" w:cs="Times New Roman"/>
          <w:sz w:val="24"/>
        </w:rPr>
        <w:t>o powierzenie grantu</w:t>
      </w:r>
      <w:r w:rsidRPr="004204E9">
        <w:rPr>
          <w:rFonts w:ascii="Times New Roman" w:eastAsia="Calibri" w:hAnsi="Times New Roman" w:cs="Times New Roman"/>
          <w:sz w:val="24"/>
        </w:rPr>
        <w:t xml:space="preserve"> pozostawione bez rozpatrzenia złożone w </w:t>
      </w:r>
      <w:r w:rsidR="001F4415">
        <w:rPr>
          <w:rFonts w:ascii="Times New Roman" w:eastAsia="Calibri" w:hAnsi="Times New Roman" w:cs="Times New Roman"/>
          <w:sz w:val="24"/>
        </w:rPr>
        <w:t>GW</w:t>
      </w:r>
      <w:r w:rsidR="004502FF">
        <w:rPr>
          <w:rFonts w:ascii="Times New Roman" w:eastAsia="Calibri" w:hAnsi="Times New Roman" w:cs="Times New Roman"/>
          <w:sz w:val="24"/>
        </w:rPr>
        <w:t xml:space="preserve"> </w:t>
      </w:r>
      <w:r w:rsidRPr="004204E9">
        <w:rPr>
          <w:rFonts w:ascii="Times New Roman" w:eastAsia="Calibri" w:hAnsi="Times New Roman" w:cs="Times New Roman"/>
          <w:sz w:val="24"/>
        </w:rPr>
        <w:t xml:space="preserve">oraz, jeśli dotyczy, wersje papierowe złożonych dokumentów lub nośniki danych (np. </w:t>
      </w:r>
      <w:r w:rsidRPr="00D0140D">
        <w:rPr>
          <w:rFonts w:ascii="Times New Roman" w:eastAsia="Calibri" w:hAnsi="Times New Roman" w:cs="Times New Roman"/>
          <w:sz w:val="24"/>
        </w:rPr>
        <w:t>CD, DVD).</w:t>
      </w:r>
    </w:p>
    <w:p w14:paraId="1CF62D54" w14:textId="6B4977DC" w:rsidR="00AF4AC9" w:rsidRPr="008958BA" w:rsidRDefault="00AF4AC9" w:rsidP="00466AA3">
      <w:pPr>
        <w:numPr>
          <w:ilvl w:val="0"/>
          <w:numId w:val="50"/>
        </w:numPr>
        <w:spacing w:after="120"/>
        <w:ind w:left="426" w:hanging="426"/>
        <w:jc w:val="both"/>
        <w:rPr>
          <w:rFonts w:ascii="Times New Roman" w:eastAsia="Calibri" w:hAnsi="Times New Roman" w:cs="Times New Roman"/>
          <w:sz w:val="24"/>
        </w:rPr>
      </w:pPr>
      <w:r w:rsidRPr="004204E9">
        <w:rPr>
          <w:rFonts w:ascii="Times New Roman" w:eastAsia="Calibri" w:hAnsi="Times New Roman" w:cs="Times New Roman"/>
          <w:sz w:val="24"/>
        </w:rPr>
        <w:t xml:space="preserve">Jeżeli po zakończeniu oceny projektu konieczne okaże się poprawienie oczywistej omyłki we wniosku </w:t>
      </w:r>
      <w:r w:rsidR="00D31C6B">
        <w:rPr>
          <w:rFonts w:ascii="Times New Roman" w:eastAsia="Calibri" w:hAnsi="Times New Roman" w:cs="Times New Roman"/>
          <w:sz w:val="24"/>
        </w:rPr>
        <w:t>o powierzenie grantu</w:t>
      </w:r>
      <w:r w:rsidRPr="004204E9">
        <w:rPr>
          <w:rFonts w:ascii="Times New Roman" w:eastAsia="Calibri" w:hAnsi="Times New Roman" w:cs="Times New Roman"/>
          <w:sz w:val="24"/>
        </w:rPr>
        <w:t xml:space="preserve"> w zakresie niewpływającym na ocenę kryteriów, </w:t>
      </w:r>
      <w:r w:rsidR="0047503E">
        <w:rPr>
          <w:rFonts w:ascii="Times New Roman" w:eastAsia="Calibri" w:hAnsi="Times New Roman" w:cs="Times New Roman"/>
          <w:sz w:val="24"/>
        </w:rPr>
        <w:t>wnioskodawca</w:t>
      </w:r>
      <w:r w:rsidR="0047503E" w:rsidRPr="004204E9">
        <w:rPr>
          <w:rFonts w:ascii="Times New Roman" w:eastAsia="Calibri" w:hAnsi="Times New Roman" w:cs="Times New Roman"/>
          <w:sz w:val="24"/>
        </w:rPr>
        <w:t xml:space="preserve"> </w:t>
      </w:r>
      <w:r w:rsidRPr="004204E9">
        <w:rPr>
          <w:rFonts w:ascii="Times New Roman" w:eastAsia="Calibri" w:hAnsi="Times New Roman" w:cs="Times New Roman"/>
          <w:sz w:val="24"/>
        </w:rPr>
        <w:t>na wezwanie</w:t>
      </w:r>
      <w:r w:rsidR="001F4415">
        <w:rPr>
          <w:rFonts w:ascii="Times New Roman" w:eastAsia="Calibri" w:hAnsi="Times New Roman" w:cs="Times New Roman"/>
          <w:sz w:val="24"/>
        </w:rPr>
        <w:t xml:space="preserve"> </w:t>
      </w:r>
      <w:r w:rsidRPr="004204E9">
        <w:rPr>
          <w:rFonts w:ascii="Times New Roman" w:eastAsia="Calibri" w:hAnsi="Times New Roman" w:cs="Times New Roman"/>
          <w:sz w:val="24"/>
        </w:rPr>
        <w:t xml:space="preserve">PARP, o którym mowa w § </w:t>
      </w:r>
      <w:r w:rsidR="00135284">
        <w:rPr>
          <w:rFonts w:ascii="Times New Roman" w:eastAsia="Calibri" w:hAnsi="Times New Roman" w:cs="Times New Roman"/>
          <w:sz w:val="24"/>
        </w:rPr>
        <w:t>11</w:t>
      </w:r>
      <w:r w:rsidR="00135284" w:rsidRPr="008958BA">
        <w:rPr>
          <w:rFonts w:ascii="Times New Roman" w:eastAsia="Calibri" w:hAnsi="Times New Roman" w:cs="Times New Roman"/>
          <w:sz w:val="24"/>
        </w:rPr>
        <w:t xml:space="preserve"> </w:t>
      </w:r>
      <w:r w:rsidRPr="008958BA">
        <w:rPr>
          <w:rFonts w:ascii="Times New Roman" w:eastAsia="Calibri" w:hAnsi="Times New Roman" w:cs="Times New Roman"/>
          <w:sz w:val="24"/>
        </w:rPr>
        <w:t>ust</w:t>
      </w:r>
      <w:r w:rsidR="00D0140D">
        <w:rPr>
          <w:rFonts w:ascii="Times New Roman" w:eastAsia="Calibri" w:hAnsi="Times New Roman" w:cs="Times New Roman"/>
          <w:sz w:val="24"/>
        </w:rPr>
        <w:t>.</w:t>
      </w:r>
      <w:r w:rsidRPr="008958BA">
        <w:rPr>
          <w:rFonts w:ascii="Times New Roman" w:eastAsia="Calibri" w:hAnsi="Times New Roman" w:cs="Times New Roman"/>
          <w:sz w:val="24"/>
        </w:rPr>
        <w:t xml:space="preserve"> </w:t>
      </w:r>
      <w:r w:rsidR="004C3632">
        <w:rPr>
          <w:rFonts w:ascii="Times New Roman" w:eastAsia="Calibri" w:hAnsi="Times New Roman" w:cs="Times New Roman"/>
          <w:sz w:val="24"/>
        </w:rPr>
        <w:t>2</w:t>
      </w:r>
      <w:r w:rsidRPr="008958BA">
        <w:rPr>
          <w:rFonts w:ascii="Times New Roman" w:eastAsia="Calibri" w:hAnsi="Times New Roman" w:cs="Times New Roman"/>
          <w:sz w:val="24"/>
        </w:rPr>
        <w:t xml:space="preserve">, przesyła skorygowany wniosek </w:t>
      </w:r>
      <w:r w:rsidR="0065130F">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przed zawarciem umowy </w:t>
      </w:r>
      <w:r w:rsidR="008554A6" w:rsidRPr="008958BA">
        <w:rPr>
          <w:rFonts w:ascii="Times New Roman" w:eastAsia="Calibri" w:hAnsi="Times New Roman" w:cs="Times New Roman"/>
          <w:sz w:val="24"/>
        </w:rPr>
        <w:t>o powierzeniu grantu</w:t>
      </w:r>
      <w:r w:rsidRPr="008958BA">
        <w:rPr>
          <w:rFonts w:ascii="Times New Roman" w:eastAsia="Calibri" w:hAnsi="Times New Roman" w:cs="Times New Roman"/>
          <w:sz w:val="24"/>
        </w:rPr>
        <w:t xml:space="preserve">. Wniosek </w:t>
      </w:r>
      <w:r w:rsidR="0065130F">
        <w:rPr>
          <w:rFonts w:ascii="Times New Roman" w:eastAsia="Calibri" w:hAnsi="Times New Roman" w:cs="Times New Roman"/>
          <w:sz w:val="24"/>
        </w:rPr>
        <w:t>o powierzenie grantu</w:t>
      </w:r>
      <w:r w:rsidRPr="008958BA">
        <w:rPr>
          <w:rFonts w:ascii="Times New Roman" w:eastAsia="Calibri" w:hAnsi="Times New Roman" w:cs="Times New Roman"/>
          <w:sz w:val="24"/>
        </w:rPr>
        <w:t xml:space="preserve"> składany jest wraz z oświadczeniem, o którym mowa w ust </w:t>
      </w:r>
      <w:r w:rsidR="00424588">
        <w:rPr>
          <w:rFonts w:ascii="Times New Roman" w:eastAsia="Calibri" w:hAnsi="Times New Roman" w:cs="Times New Roman"/>
          <w:sz w:val="24"/>
        </w:rPr>
        <w:t>8</w:t>
      </w:r>
      <w:r w:rsidRPr="008958BA">
        <w:rPr>
          <w:rFonts w:ascii="Times New Roman" w:eastAsia="Calibri" w:hAnsi="Times New Roman" w:cs="Times New Roman"/>
          <w:sz w:val="24"/>
        </w:rPr>
        <w:t>.</w:t>
      </w:r>
      <w:r w:rsidR="000D2915">
        <w:rPr>
          <w:rFonts w:ascii="Times New Roman" w:eastAsia="Calibri" w:hAnsi="Times New Roman" w:cs="Times New Roman"/>
          <w:sz w:val="24"/>
        </w:rPr>
        <w:t xml:space="preserve"> </w:t>
      </w:r>
      <w:r w:rsidR="000D2915" w:rsidRPr="000D2915">
        <w:rPr>
          <w:rFonts w:ascii="Times New Roman" w:eastAsia="Calibri" w:hAnsi="Times New Roman" w:cs="Times New Roman"/>
          <w:color w:val="000000"/>
          <w:sz w:val="24"/>
        </w:rPr>
        <w:t xml:space="preserve"> </w:t>
      </w:r>
      <w:r w:rsidR="000D2915">
        <w:rPr>
          <w:rFonts w:ascii="Times New Roman" w:eastAsia="Calibri" w:hAnsi="Times New Roman" w:cs="Times New Roman"/>
          <w:color w:val="000000"/>
          <w:sz w:val="24"/>
        </w:rPr>
        <w:t>PARP może również poprawić oczywiste omyłki we wniosku</w:t>
      </w:r>
      <w:r w:rsidR="006403D9" w:rsidRPr="006403D9">
        <w:rPr>
          <w:rFonts w:ascii="Times New Roman" w:eastAsia="Calibri" w:hAnsi="Times New Roman" w:cs="Times New Roman"/>
          <w:sz w:val="24"/>
        </w:rPr>
        <w:t xml:space="preserve"> </w:t>
      </w:r>
      <w:r w:rsidR="006403D9">
        <w:rPr>
          <w:rFonts w:ascii="Times New Roman" w:eastAsia="Calibri" w:hAnsi="Times New Roman" w:cs="Times New Roman"/>
          <w:sz w:val="24"/>
        </w:rPr>
        <w:t>o powierzenie grantu</w:t>
      </w:r>
      <w:r w:rsidR="000D2915">
        <w:rPr>
          <w:rFonts w:ascii="Times New Roman" w:eastAsia="Calibri" w:hAnsi="Times New Roman" w:cs="Times New Roman"/>
          <w:color w:val="000000"/>
          <w:sz w:val="24"/>
        </w:rPr>
        <w:t xml:space="preserve">, bez konieczności wzywania do poprawienia </w:t>
      </w:r>
      <w:r w:rsidR="006403D9">
        <w:rPr>
          <w:rFonts w:ascii="Times New Roman" w:eastAsia="Calibri" w:hAnsi="Times New Roman" w:cs="Times New Roman"/>
          <w:color w:val="000000"/>
          <w:sz w:val="24"/>
        </w:rPr>
        <w:t>w</w:t>
      </w:r>
      <w:r w:rsidR="000D2915">
        <w:rPr>
          <w:rFonts w:ascii="Times New Roman" w:eastAsia="Calibri" w:hAnsi="Times New Roman" w:cs="Times New Roman"/>
          <w:color w:val="000000"/>
          <w:sz w:val="24"/>
        </w:rPr>
        <w:t xml:space="preserve">nioskodawcy. W takim przypadku PARP informuje </w:t>
      </w:r>
      <w:r w:rsidR="006403D9">
        <w:rPr>
          <w:rFonts w:ascii="Times New Roman" w:eastAsia="Calibri" w:hAnsi="Times New Roman" w:cs="Times New Roman"/>
          <w:color w:val="000000"/>
          <w:sz w:val="24"/>
        </w:rPr>
        <w:t>w</w:t>
      </w:r>
      <w:r w:rsidR="000D2915">
        <w:rPr>
          <w:rFonts w:ascii="Times New Roman" w:eastAsia="Calibri" w:hAnsi="Times New Roman" w:cs="Times New Roman"/>
          <w:color w:val="000000"/>
          <w:sz w:val="24"/>
        </w:rPr>
        <w:t>nioskodawcę o dokonanej poprawie.</w:t>
      </w:r>
    </w:p>
    <w:p w14:paraId="2B35A9D0" w14:textId="77777777" w:rsidR="008958BA" w:rsidRDefault="008958BA" w:rsidP="00DD39CD">
      <w:pPr>
        <w:pStyle w:val="Default"/>
        <w:spacing w:before="120" w:after="120" w:line="271" w:lineRule="auto"/>
        <w:jc w:val="center"/>
        <w:rPr>
          <w:b/>
          <w:bCs/>
          <w:color w:val="auto"/>
        </w:rPr>
      </w:pPr>
    </w:p>
    <w:p w14:paraId="44C0502D" w14:textId="77777777" w:rsidR="00DD39CD" w:rsidRPr="00CC7265" w:rsidRDefault="00DD39CD" w:rsidP="00DD39CD">
      <w:pPr>
        <w:pStyle w:val="Default"/>
        <w:spacing w:before="120" w:after="120" w:line="271" w:lineRule="auto"/>
        <w:jc w:val="center"/>
        <w:rPr>
          <w:color w:val="auto"/>
        </w:rPr>
      </w:pPr>
      <w:r w:rsidRPr="00CC7265">
        <w:rPr>
          <w:b/>
          <w:bCs/>
          <w:color w:val="auto"/>
        </w:rPr>
        <w:t xml:space="preserve">§ </w:t>
      </w:r>
      <w:r w:rsidR="00BE07E4" w:rsidRPr="00CC7265">
        <w:rPr>
          <w:b/>
          <w:bCs/>
          <w:color w:val="auto"/>
        </w:rPr>
        <w:t>8</w:t>
      </w:r>
    </w:p>
    <w:p w14:paraId="20D0B05B" w14:textId="3815FEE6" w:rsidR="00DD39CD" w:rsidRPr="00CC7265" w:rsidRDefault="00AF4AC9" w:rsidP="00DD39CD">
      <w:pPr>
        <w:pStyle w:val="Default"/>
        <w:spacing w:before="120" w:after="120" w:line="271" w:lineRule="auto"/>
        <w:jc w:val="center"/>
        <w:rPr>
          <w:color w:val="auto"/>
        </w:rPr>
      </w:pPr>
      <w:r w:rsidRPr="00CC7265">
        <w:rPr>
          <w:b/>
          <w:bCs/>
          <w:color w:val="auto"/>
        </w:rPr>
        <w:t xml:space="preserve">Zasady oceny wniosków </w:t>
      </w:r>
      <w:r w:rsidR="00D350BA">
        <w:rPr>
          <w:b/>
          <w:bCs/>
          <w:color w:val="auto"/>
        </w:rPr>
        <w:t>o powierzenie grantów</w:t>
      </w:r>
    </w:p>
    <w:p w14:paraId="010A5D04" w14:textId="52C25A3B" w:rsidR="00DD39CD" w:rsidRPr="00CC7265" w:rsidRDefault="00DD39CD" w:rsidP="00223CAE">
      <w:pPr>
        <w:numPr>
          <w:ilvl w:val="0"/>
          <w:numId w:val="5"/>
        </w:numPr>
        <w:spacing w:after="120" w:line="240" w:lineRule="auto"/>
        <w:ind w:left="426" w:hanging="426"/>
        <w:jc w:val="both"/>
        <w:rPr>
          <w:rFonts w:ascii="Times New Roman" w:hAnsi="Times New Roman" w:cs="Times New Roman"/>
          <w:sz w:val="24"/>
          <w:szCs w:val="24"/>
        </w:rPr>
      </w:pPr>
      <w:r w:rsidRPr="00CC7265">
        <w:rPr>
          <w:rFonts w:ascii="Times New Roman" w:hAnsi="Times New Roman" w:cs="Times New Roman"/>
          <w:sz w:val="24"/>
          <w:szCs w:val="24"/>
        </w:rPr>
        <w:t xml:space="preserve">Złożony wniosek </w:t>
      </w:r>
      <w:r w:rsidR="0065130F">
        <w:rPr>
          <w:rFonts w:ascii="Times New Roman" w:hAnsi="Times New Roman" w:cs="Times New Roman"/>
          <w:sz w:val="24"/>
          <w:szCs w:val="24"/>
        </w:rPr>
        <w:t>o powierzenie grantu</w:t>
      </w:r>
      <w:r w:rsidR="00DA1ED5" w:rsidRPr="00CC7265">
        <w:rPr>
          <w:rFonts w:ascii="Times New Roman" w:hAnsi="Times New Roman" w:cs="Times New Roman"/>
          <w:sz w:val="24"/>
          <w:szCs w:val="24"/>
        </w:rPr>
        <w:t xml:space="preserve"> </w:t>
      </w:r>
      <w:r w:rsidRPr="00CC7265">
        <w:rPr>
          <w:rFonts w:ascii="Times New Roman" w:hAnsi="Times New Roman" w:cs="Times New Roman"/>
          <w:sz w:val="24"/>
          <w:szCs w:val="24"/>
        </w:rPr>
        <w:t xml:space="preserve">podlega ocenie w oparciu o kryteria wyboru </w:t>
      </w:r>
      <w:r w:rsidR="00317293">
        <w:rPr>
          <w:rFonts w:ascii="Times New Roman" w:hAnsi="Times New Roman" w:cs="Times New Roman"/>
          <w:sz w:val="24"/>
          <w:szCs w:val="24"/>
        </w:rPr>
        <w:t xml:space="preserve">projektu </w:t>
      </w:r>
      <w:r w:rsidRPr="00CC7265">
        <w:rPr>
          <w:rFonts w:ascii="Times New Roman" w:hAnsi="Times New Roman" w:cs="Times New Roman"/>
          <w:sz w:val="24"/>
          <w:szCs w:val="24"/>
        </w:rPr>
        <w:t>określone w załączniku nr </w:t>
      </w:r>
      <w:r w:rsidR="00B674BB">
        <w:rPr>
          <w:rFonts w:ascii="Times New Roman" w:hAnsi="Times New Roman" w:cs="Times New Roman"/>
          <w:sz w:val="24"/>
          <w:szCs w:val="24"/>
        </w:rPr>
        <w:t>3</w:t>
      </w:r>
      <w:r w:rsidR="00B674BB" w:rsidRPr="00CC7265">
        <w:rPr>
          <w:rFonts w:ascii="Times New Roman" w:hAnsi="Times New Roman" w:cs="Times New Roman"/>
          <w:sz w:val="24"/>
          <w:szCs w:val="24"/>
        </w:rPr>
        <w:t xml:space="preserve"> </w:t>
      </w:r>
      <w:r w:rsidRPr="00CC7265">
        <w:rPr>
          <w:rFonts w:ascii="Times New Roman" w:hAnsi="Times New Roman" w:cs="Times New Roman"/>
          <w:sz w:val="24"/>
          <w:szCs w:val="24"/>
        </w:rPr>
        <w:t>do Regulaminu</w:t>
      </w:r>
      <w:r w:rsidR="00B674BB">
        <w:rPr>
          <w:rFonts w:ascii="Times New Roman" w:hAnsi="Times New Roman" w:cs="Times New Roman"/>
          <w:sz w:val="24"/>
          <w:szCs w:val="24"/>
        </w:rPr>
        <w:t xml:space="preserve"> </w:t>
      </w:r>
      <w:r w:rsidR="00527255">
        <w:rPr>
          <w:rFonts w:ascii="Times New Roman" w:hAnsi="Times New Roman" w:cs="Times New Roman"/>
          <w:sz w:val="24"/>
          <w:szCs w:val="24"/>
        </w:rPr>
        <w:t>nabor</w:t>
      </w:r>
      <w:r w:rsidR="00B674BB">
        <w:rPr>
          <w:rFonts w:ascii="Times New Roman" w:hAnsi="Times New Roman" w:cs="Times New Roman"/>
          <w:sz w:val="24"/>
          <w:szCs w:val="24"/>
        </w:rPr>
        <w:t>u</w:t>
      </w:r>
      <w:r w:rsidRPr="00CC7265">
        <w:rPr>
          <w:rFonts w:ascii="Times New Roman" w:hAnsi="Times New Roman" w:cs="Times New Roman"/>
          <w:sz w:val="24"/>
          <w:szCs w:val="24"/>
        </w:rPr>
        <w:t xml:space="preserve">, na podstawie informacji zawartych we wniosku i załącznikach oraz informacji lub dokumentów dostarczonych przez wnioskodawcę na wezwanie </w:t>
      </w:r>
      <w:r w:rsidR="00666DE0">
        <w:rPr>
          <w:rFonts w:ascii="Times New Roman" w:hAnsi="Times New Roman" w:cs="Times New Roman"/>
          <w:sz w:val="24"/>
          <w:szCs w:val="24"/>
        </w:rPr>
        <w:t>PARP</w:t>
      </w:r>
      <w:r w:rsidRPr="00CC7265">
        <w:rPr>
          <w:rFonts w:ascii="Times New Roman" w:hAnsi="Times New Roman" w:cs="Times New Roman"/>
          <w:sz w:val="24"/>
          <w:szCs w:val="24"/>
        </w:rPr>
        <w:t>.</w:t>
      </w:r>
    </w:p>
    <w:p w14:paraId="059F20A6" w14:textId="7C882B41" w:rsidR="00DD39CD" w:rsidRPr="00CC7265" w:rsidRDefault="00DD39CD" w:rsidP="00223CAE">
      <w:pPr>
        <w:pStyle w:val="Default"/>
        <w:numPr>
          <w:ilvl w:val="0"/>
          <w:numId w:val="5"/>
        </w:numPr>
        <w:spacing w:before="120" w:after="120" w:line="271" w:lineRule="auto"/>
        <w:ind w:left="426" w:hanging="426"/>
        <w:jc w:val="both"/>
        <w:rPr>
          <w:color w:val="auto"/>
        </w:rPr>
      </w:pPr>
      <w:r w:rsidRPr="00CC7265">
        <w:rPr>
          <w:color w:val="auto"/>
        </w:rPr>
        <w:t xml:space="preserve">Ocena dokonywana jest przez </w:t>
      </w:r>
      <w:r w:rsidR="00E93BBD">
        <w:rPr>
          <w:color w:val="auto"/>
        </w:rPr>
        <w:t>Komisję Oceny Projektów</w:t>
      </w:r>
      <w:r w:rsidR="004D4892">
        <w:rPr>
          <w:color w:val="auto"/>
        </w:rPr>
        <w:t xml:space="preserve"> (zwaną dalej </w:t>
      </w:r>
      <w:r w:rsidR="00016465">
        <w:rPr>
          <w:color w:val="auto"/>
        </w:rPr>
        <w:t>„</w:t>
      </w:r>
      <w:r w:rsidR="004D4892">
        <w:rPr>
          <w:color w:val="auto"/>
        </w:rPr>
        <w:t>KOP</w:t>
      </w:r>
      <w:r w:rsidR="00016465">
        <w:rPr>
          <w:color w:val="auto"/>
        </w:rPr>
        <w:t>”</w:t>
      </w:r>
      <w:r w:rsidR="004D4892">
        <w:rPr>
          <w:color w:val="auto"/>
        </w:rPr>
        <w:t>)</w:t>
      </w:r>
      <w:r w:rsidRPr="00CC7265">
        <w:rPr>
          <w:color w:val="auto"/>
        </w:rPr>
        <w:t xml:space="preserve">. </w:t>
      </w:r>
      <w:r w:rsidR="00FA5EA0" w:rsidRPr="00D263BA">
        <w:t xml:space="preserve">W przypadku, gdy do oceny spełnienia kryteriów wyboru projektów niezbędne okaże się złożenie przez wnioskodawcę dodatkowych informacji lub dokumentów innych niż wymienione we wniosku o </w:t>
      </w:r>
      <w:r w:rsidR="00FA5EA0">
        <w:t>powierzenie grantu</w:t>
      </w:r>
      <w:r w:rsidR="00FA5EA0" w:rsidRPr="00D263BA">
        <w:t>, KOP może, w uzasadnionych okolicznościach, wezwać wnioskodawcę do ich złożenia.</w:t>
      </w:r>
      <w:r w:rsidR="004D4892">
        <w:rPr>
          <w:color w:val="auto"/>
        </w:rPr>
        <w:t xml:space="preserve"> Dokumenty powinny być dostarczone przez </w:t>
      </w:r>
      <w:r w:rsidR="0047503E">
        <w:rPr>
          <w:color w:val="auto"/>
        </w:rPr>
        <w:t>wnioskodawcę</w:t>
      </w:r>
      <w:r w:rsidR="0047503E" w:rsidRPr="00CC7265">
        <w:rPr>
          <w:color w:val="auto"/>
        </w:rPr>
        <w:t xml:space="preserve"> </w:t>
      </w:r>
      <w:r w:rsidRPr="00CC7265">
        <w:rPr>
          <w:color w:val="auto"/>
        </w:rPr>
        <w:t xml:space="preserve">w terminie do </w:t>
      </w:r>
      <w:r w:rsidR="00D87D75">
        <w:rPr>
          <w:color w:val="auto"/>
        </w:rPr>
        <w:t>3</w:t>
      </w:r>
      <w:r w:rsidR="00D87D75" w:rsidRPr="00CC7265">
        <w:rPr>
          <w:color w:val="auto"/>
        </w:rPr>
        <w:t xml:space="preserve"> </w:t>
      </w:r>
      <w:r w:rsidRPr="00CC7265">
        <w:rPr>
          <w:color w:val="auto"/>
        </w:rPr>
        <w:t xml:space="preserve">dni roboczych od dnia wysłania wezwania na adres poczty elektronicznej </w:t>
      </w:r>
      <w:r w:rsidR="0047503E">
        <w:rPr>
          <w:color w:val="auto"/>
        </w:rPr>
        <w:t>wnioskodawcy</w:t>
      </w:r>
      <w:r w:rsidRPr="00CC7265">
        <w:rPr>
          <w:color w:val="auto"/>
        </w:rPr>
        <w:t>.</w:t>
      </w:r>
      <w:r w:rsidR="00FA5EA0" w:rsidRPr="00FA5EA0">
        <w:t xml:space="preserve"> </w:t>
      </w:r>
      <w:r w:rsidR="00FA5EA0" w:rsidRPr="00D263BA">
        <w:t xml:space="preserve">Jeżeli </w:t>
      </w:r>
      <w:r w:rsidR="0047503E">
        <w:t>wnioskodawca</w:t>
      </w:r>
      <w:r w:rsidR="0047503E" w:rsidRPr="00D263BA">
        <w:t xml:space="preserve"> </w:t>
      </w:r>
      <w:r w:rsidR="00FA5EA0" w:rsidRPr="00D263BA">
        <w:t xml:space="preserve">nie przekaże informacji lub dokumentów w wyznaczonym terminie, ocena wniosku </w:t>
      </w:r>
      <w:r w:rsidR="00D0140D">
        <w:t>o powierzenie grantu</w:t>
      </w:r>
      <w:r w:rsidR="00FA5EA0" w:rsidRPr="00D263BA">
        <w:t xml:space="preserve"> prowadzona jest przez KOP na podstawie dostępnych informacji</w:t>
      </w:r>
      <w:r w:rsidR="006921B4">
        <w:t>.</w:t>
      </w:r>
      <w:r w:rsidRPr="00CC7265">
        <w:rPr>
          <w:color w:val="auto"/>
        </w:rPr>
        <w:t xml:space="preserve"> </w:t>
      </w:r>
      <w:r w:rsidR="00DA1ED5" w:rsidRPr="00CC7265">
        <w:rPr>
          <w:color w:val="auto"/>
        </w:rPr>
        <w:t xml:space="preserve">Ocena negatywna powoduje odrzucenie wniosku </w:t>
      </w:r>
      <w:r w:rsidR="00D31C6B">
        <w:rPr>
          <w:color w:val="auto"/>
        </w:rPr>
        <w:t>o powierzenie grantu</w:t>
      </w:r>
      <w:r w:rsidR="00DA1ED5" w:rsidRPr="00CC7265">
        <w:rPr>
          <w:color w:val="auto"/>
        </w:rPr>
        <w:t>.</w:t>
      </w:r>
    </w:p>
    <w:p w14:paraId="44B42AA4" w14:textId="198B559A" w:rsidR="009E11C0" w:rsidRPr="00EC0A8B" w:rsidRDefault="00CD4CDE" w:rsidP="00223CAE">
      <w:pPr>
        <w:pStyle w:val="Default"/>
        <w:numPr>
          <w:ilvl w:val="0"/>
          <w:numId w:val="5"/>
        </w:numPr>
        <w:spacing w:before="120" w:after="120" w:line="271" w:lineRule="auto"/>
        <w:ind w:left="426" w:hanging="426"/>
        <w:jc w:val="both"/>
        <w:rPr>
          <w:color w:val="auto"/>
        </w:rPr>
      </w:pPr>
      <w:r w:rsidRPr="00CC7265">
        <w:rPr>
          <w:color w:val="auto"/>
        </w:rPr>
        <w:lastRenderedPageBreak/>
        <w:t xml:space="preserve">Ze względu na uznanie oceny </w:t>
      </w:r>
      <w:r w:rsidR="00466098" w:rsidRPr="00CC7265">
        <w:rPr>
          <w:color w:val="auto"/>
        </w:rPr>
        <w:t xml:space="preserve">merytorycznej projektu, </w:t>
      </w:r>
      <w:r w:rsidRPr="00CC7265">
        <w:rPr>
          <w:color w:val="auto"/>
        </w:rPr>
        <w:t xml:space="preserve">dokonanej przez </w:t>
      </w:r>
      <w:r w:rsidRPr="00CC7265">
        <w:t>ekspertów</w:t>
      </w:r>
      <w:r w:rsidR="00F14D8C" w:rsidRPr="00CC7265">
        <w:t xml:space="preserve"> Komisji Europejskiej</w:t>
      </w:r>
      <w:r w:rsidRPr="00CC7265">
        <w:t xml:space="preserve"> w SMEI F1 H2020</w:t>
      </w:r>
      <w:r w:rsidR="00A5650F" w:rsidRPr="00CC7265">
        <w:t xml:space="preserve">, </w:t>
      </w:r>
      <w:r w:rsidR="004D4892">
        <w:t>KOP</w:t>
      </w:r>
      <w:r w:rsidR="00466098" w:rsidRPr="00CC7265">
        <w:t xml:space="preserve"> </w:t>
      </w:r>
      <w:r w:rsidRPr="00CC7265">
        <w:t>nie dokonuje oceny merytorycznej projektów</w:t>
      </w:r>
      <w:r w:rsidR="00A109D5">
        <w:t xml:space="preserve"> w tym zakresie</w:t>
      </w:r>
      <w:r w:rsidRPr="00CC7265">
        <w:t>.</w:t>
      </w:r>
    </w:p>
    <w:p w14:paraId="429B6F28" w14:textId="60041FAE" w:rsidR="00EC0A8B" w:rsidRPr="00CC7265" w:rsidRDefault="00EC0A8B" w:rsidP="00223CAE">
      <w:pPr>
        <w:pStyle w:val="Default"/>
        <w:numPr>
          <w:ilvl w:val="0"/>
          <w:numId w:val="5"/>
        </w:numPr>
        <w:spacing w:before="120" w:after="120" w:line="271" w:lineRule="auto"/>
        <w:ind w:left="426" w:hanging="426"/>
        <w:jc w:val="both"/>
        <w:rPr>
          <w:color w:val="auto"/>
        </w:rPr>
      </w:pPr>
      <w:r w:rsidRPr="00215E4C">
        <w:t xml:space="preserve">Prawdziwość oświadczeń i danych zawartych we wniosku o powierzenie grantu może zostać zweryfikowana na każdym etapie oceny, jak również przed i po zawarciu umowy </w:t>
      </w:r>
      <w:r w:rsidRPr="00215E4C">
        <w:br/>
        <w:t>o powierzenie grantu.</w:t>
      </w:r>
    </w:p>
    <w:p w14:paraId="4ED4AC9A" w14:textId="5CD909A6" w:rsidR="00DA1ED5" w:rsidRPr="00CC7265" w:rsidRDefault="00DD39CD" w:rsidP="00223CAE">
      <w:pPr>
        <w:pStyle w:val="Default"/>
        <w:numPr>
          <w:ilvl w:val="0"/>
          <w:numId w:val="5"/>
        </w:numPr>
        <w:spacing w:before="120" w:after="120" w:line="271" w:lineRule="auto"/>
        <w:ind w:left="426" w:hanging="426"/>
        <w:jc w:val="both"/>
        <w:rPr>
          <w:color w:val="auto"/>
        </w:rPr>
      </w:pPr>
      <w:r w:rsidRPr="00CC7265">
        <w:t xml:space="preserve">Ocena wniosków </w:t>
      </w:r>
      <w:r w:rsidR="00EF0632">
        <w:t>o powierzenie grantu</w:t>
      </w:r>
      <w:r w:rsidR="00EF0632" w:rsidRPr="00D263BA">
        <w:t xml:space="preserve"> </w:t>
      </w:r>
      <w:r w:rsidR="00A5650F" w:rsidRPr="00CC7265">
        <w:t xml:space="preserve">dokonywana jest </w:t>
      </w:r>
      <w:r w:rsidRPr="00CC7265">
        <w:t xml:space="preserve">na bieżąco w miarę ich wpływu </w:t>
      </w:r>
      <w:r w:rsidR="00A5650F" w:rsidRPr="00CC7265">
        <w:t xml:space="preserve">do </w:t>
      </w:r>
      <w:r w:rsidR="00666DE0">
        <w:t>PARP</w:t>
      </w:r>
      <w:r w:rsidR="00E533A5">
        <w:t>,</w:t>
      </w:r>
      <w:r w:rsidRPr="00CC7265">
        <w:t xml:space="preserve"> w terminie </w:t>
      </w:r>
      <w:r w:rsidR="00DC15CC">
        <w:t>do</w:t>
      </w:r>
      <w:r w:rsidR="00DC15CC" w:rsidRPr="00CC7265">
        <w:t xml:space="preserve"> </w:t>
      </w:r>
      <w:r w:rsidRPr="00CC7265">
        <w:t xml:space="preserve">30 dni od </w:t>
      </w:r>
      <w:r w:rsidR="00E533A5">
        <w:t xml:space="preserve">dnia </w:t>
      </w:r>
      <w:r w:rsidRPr="00CC7265">
        <w:t xml:space="preserve">zamknięcia naboru. </w:t>
      </w:r>
    </w:p>
    <w:p w14:paraId="2A8BB2B2" w14:textId="0EF06044" w:rsidR="00EC0A8B" w:rsidRPr="00EC0A8B" w:rsidRDefault="00EC0A8B" w:rsidP="00223CAE">
      <w:pPr>
        <w:pStyle w:val="Default"/>
        <w:numPr>
          <w:ilvl w:val="0"/>
          <w:numId w:val="5"/>
        </w:numPr>
        <w:spacing w:before="120" w:after="120" w:line="271" w:lineRule="auto"/>
        <w:ind w:left="426" w:hanging="426"/>
        <w:jc w:val="both"/>
        <w:rPr>
          <w:color w:val="auto"/>
        </w:rPr>
      </w:pPr>
      <w:r w:rsidRPr="00215E4C">
        <w:t>Wnioskodawca ma prawo dostępu do dokumentów związanych z oceną złożonego wniosku o powierzenie grantu, przy zachowaniu zasady anonimowości osób dokonujących oceny wniosku o powierzenie grantu.</w:t>
      </w:r>
    </w:p>
    <w:p w14:paraId="789A3D6D" w14:textId="77777777" w:rsidR="00443DFA" w:rsidRPr="00215E4C" w:rsidRDefault="00443DFA" w:rsidP="00223CAE">
      <w:pPr>
        <w:numPr>
          <w:ilvl w:val="0"/>
          <w:numId w:val="5"/>
        </w:numPr>
        <w:spacing w:after="120"/>
        <w:ind w:left="426"/>
        <w:jc w:val="both"/>
        <w:rPr>
          <w:rFonts w:ascii="Times New Roman" w:hAnsi="Times New Roman" w:cs="Times New Roman"/>
          <w:sz w:val="24"/>
          <w:szCs w:val="24"/>
        </w:rPr>
      </w:pPr>
      <w:r>
        <w:rPr>
          <w:rFonts w:ascii="Times New Roman" w:hAnsi="Times New Roman" w:cs="Times New Roman"/>
          <w:iCs/>
          <w:sz w:val="24"/>
          <w:szCs w:val="24"/>
        </w:rPr>
        <w:t xml:space="preserve">W ramach naboru nie przewiduje się środków odwoławczych. </w:t>
      </w:r>
    </w:p>
    <w:p w14:paraId="2124BD2B" w14:textId="77777777" w:rsidR="00B47007" w:rsidRPr="00CC7265" w:rsidRDefault="00B47007" w:rsidP="000E2991">
      <w:pPr>
        <w:pStyle w:val="Default"/>
        <w:spacing w:before="120" w:after="120" w:line="271" w:lineRule="auto"/>
        <w:jc w:val="both"/>
        <w:rPr>
          <w:color w:val="auto"/>
        </w:rPr>
      </w:pPr>
    </w:p>
    <w:p w14:paraId="3A31E70D" w14:textId="4120912B" w:rsidR="00AD3B4B" w:rsidRPr="00215E4C" w:rsidRDefault="00AD3B4B" w:rsidP="00AD3B4B">
      <w:pPr>
        <w:spacing w:after="120"/>
        <w:jc w:val="center"/>
        <w:rPr>
          <w:rFonts w:ascii="Times New Roman" w:hAnsi="Times New Roman" w:cs="Times New Roman"/>
          <w:i/>
          <w:sz w:val="24"/>
          <w:szCs w:val="24"/>
        </w:rPr>
      </w:pPr>
      <w:r w:rsidRPr="00215E4C">
        <w:rPr>
          <w:rFonts w:ascii="Times New Roman" w:hAnsi="Times New Roman" w:cs="Times New Roman"/>
          <w:b/>
          <w:sz w:val="24"/>
          <w:szCs w:val="24"/>
        </w:rPr>
        <w:t xml:space="preserve">§ </w:t>
      </w:r>
      <w:r>
        <w:rPr>
          <w:rFonts w:ascii="Times New Roman" w:hAnsi="Times New Roman" w:cs="Times New Roman"/>
          <w:b/>
          <w:sz w:val="24"/>
          <w:szCs w:val="24"/>
        </w:rPr>
        <w:t>9</w:t>
      </w:r>
    </w:p>
    <w:p w14:paraId="2779BADC" w14:textId="13B99C93" w:rsidR="00AD3B4B" w:rsidRPr="00215E4C" w:rsidRDefault="00AD3B4B" w:rsidP="00AD3B4B">
      <w:pPr>
        <w:spacing w:after="120"/>
        <w:jc w:val="center"/>
        <w:rPr>
          <w:rFonts w:ascii="Times New Roman" w:hAnsi="Times New Roman" w:cs="Times New Roman"/>
          <w:b/>
          <w:sz w:val="24"/>
          <w:szCs w:val="24"/>
        </w:rPr>
      </w:pPr>
      <w:r w:rsidRPr="00215E4C">
        <w:rPr>
          <w:rFonts w:ascii="Times New Roman" w:hAnsi="Times New Roman" w:cs="Times New Roman"/>
          <w:b/>
          <w:sz w:val="24"/>
          <w:szCs w:val="24"/>
        </w:rPr>
        <w:t>Zasady wyboru projektów</w:t>
      </w:r>
    </w:p>
    <w:p w14:paraId="04025B4C" w14:textId="3697C111" w:rsidR="00AD3B4B" w:rsidRPr="00215E4C" w:rsidRDefault="00AD3B4B" w:rsidP="00223CAE">
      <w:pPr>
        <w:pStyle w:val="Akapitzlist"/>
        <w:numPr>
          <w:ilvl w:val="0"/>
          <w:numId w:val="26"/>
        </w:numPr>
        <w:autoSpaceDE w:val="0"/>
        <w:autoSpaceDN w:val="0"/>
        <w:spacing w:after="120"/>
        <w:ind w:left="284" w:hanging="284"/>
        <w:contextualSpacing w:val="0"/>
        <w:jc w:val="both"/>
        <w:rPr>
          <w:rFonts w:ascii="Times New Roman" w:hAnsi="Times New Roman" w:cs="Times New Roman"/>
          <w:sz w:val="24"/>
          <w:szCs w:val="24"/>
        </w:rPr>
      </w:pPr>
      <w:r w:rsidRPr="00215E4C">
        <w:rPr>
          <w:rFonts w:ascii="Times New Roman" w:hAnsi="Times New Roman" w:cs="Times New Roman"/>
          <w:sz w:val="24"/>
          <w:szCs w:val="24"/>
        </w:rPr>
        <w:t>Projekt może zostać wybrany do powierzenia grantu, gdy:</w:t>
      </w:r>
    </w:p>
    <w:p w14:paraId="69753020" w14:textId="49D1FAC9" w:rsidR="00AD3B4B" w:rsidRPr="00215E4C" w:rsidRDefault="00CD52D0" w:rsidP="00223CAE">
      <w:pPr>
        <w:pStyle w:val="Akapitzlist"/>
        <w:numPr>
          <w:ilvl w:val="0"/>
          <w:numId w:val="24"/>
        </w:numPr>
        <w:autoSpaceDE w:val="0"/>
        <w:autoSpaceDN w:val="0"/>
        <w:spacing w:after="120"/>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projekt </w:t>
      </w:r>
      <w:r w:rsidR="00AD3B4B" w:rsidRPr="00215E4C">
        <w:rPr>
          <w:rFonts w:ascii="Times New Roman" w:hAnsi="Times New Roman" w:cs="Times New Roman"/>
          <w:sz w:val="24"/>
          <w:szCs w:val="24"/>
        </w:rPr>
        <w:t>spełnił kryteria wyboru projektów oraz</w:t>
      </w:r>
    </w:p>
    <w:p w14:paraId="4FC41A55" w14:textId="3BA226E7" w:rsidR="00AD3B4B" w:rsidRPr="00215E4C" w:rsidRDefault="00AD3B4B" w:rsidP="00223CAE">
      <w:pPr>
        <w:pStyle w:val="Akapitzlist"/>
        <w:numPr>
          <w:ilvl w:val="0"/>
          <w:numId w:val="24"/>
        </w:numPr>
        <w:autoSpaceDE w:val="0"/>
        <w:autoSpaceDN w:val="0"/>
        <w:spacing w:after="120"/>
        <w:ind w:left="709" w:hanging="425"/>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alokacja dostępna w ramach naboru pozwala na </w:t>
      </w:r>
      <w:r w:rsidR="00CD52D0">
        <w:rPr>
          <w:rFonts w:ascii="Times New Roman" w:hAnsi="Times New Roman" w:cs="Times New Roman"/>
          <w:sz w:val="24"/>
          <w:szCs w:val="24"/>
        </w:rPr>
        <w:t>powierzenie</w:t>
      </w:r>
      <w:r w:rsidR="00CD52D0" w:rsidRPr="00215E4C">
        <w:rPr>
          <w:rFonts w:ascii="Times New Roman" w:hAnsi="Times New Roman" w:cs="Times New Roman"/>
          <w:sz w:val="24"/>
          <w:szCs w:val="24"/>
        </w:rPr>
        <w:t xml:space="preserve"> </w:t>
      </w:r>
      <w:r w:rsidR="00CD52D0">
        <w:rPr>
          <w:rFonts w:ascii="Times New Roman" w:hAnsi="Times New Roman" w:cs="Times New Roman"/>
          <w:sz w:val="24"/>
          <w:szCs w:val="24"/>
        </w:rPr>
        <w:t>projektowi</w:t>
      </w:r>
      <w:r w:rsidRPr="00215E4C">
        <w:rPr>
          <w:rFonts w:ascii="Times New Roman" w:hAnsi="Times New Roman" w:cs="Times New Roman"/>
          <w:sz w:val="24"/>
          <w:szCs w:val="24"/>
        </w:rPr>
        <w:t xml:space="preserve"> grantu.</w:t>
      </w:r>
    </w:p>
    <w:p w14:paraId="31331F7F" w14:textId="009BABDB" w:rsidR="00AD3B4B" w:rsidRPr="00215E4C" w:rsidRDefault="00AD3B4B" w:rsidP="00223CAE">
      <w:pPr>
        <w:pStyle w:val="Akapitzlist"/>
        <w:numPr>
          <w:ilvl w:val="0"/>
          <w:numId w:val="26"/>
        </w:numPr>
        <w:tabs>
          <w:tab w:val="left" w:pos="284"/>
        </w:tabs>
        <w:autoSpaceDE w:val="0"/>
        <w:autoSpaceDN w:val="0"/>
        <w:spacing w:after="120"/>
        <w:ind w:left="426" w:hanging="426"/>
        <w:contextualSpacing w:val="0"/>
        <w:jc w:val="both"/>
        <w:rPr>
          <w:rFonts w:ascii="Times New Roman" w:hAnsi="Times New Roman" w:cs="Times New Roman"/>
          <w:sz w:val="24"/>
          <w:szCs w:val="24"/>
        </w:rPr>
      </w:pPr>
      <w:r w:rsidRPr="00215E4C">
        <w:rPr>
          <w:rFonts w:ascii="Times New Roman" w:hAnsi="Times New Roman" w:cs="Times New Roman"/>
          <w:sz w:val="24"/>
          <w:szCs w:val="24"/>
        </w:rPr>
        <w:t>Projekt nie może zostać wybrany do powierzenia grantu, gdy:</w:t>
      </w:r>
    </w:p>
    <w:p w14:paraId="114C2534" w14:textId="56BB2F81" w:rsidR="00AD3B4B" w:rsidRPr="00215E4C" w:rsidRDefault="00CD52D0" w:rsidP="00223CAE">
      <w:pPr>
        <w:pStyle w:val="Akapitzlist"/>
        <w:numPr>
          <w:ilvl w:val="0"/>
          <w:numId w:val="25"/>
        </w:numPr>
        <w:autoSpaceDE w:val="0"/>
        <w:autoSpaceDN w:val="0"/>
        <w:spacing w:after="120"/>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projekt </w:t>
      </w:r>
      <w:r w:rsidR="00AD3B4B" w:rsidRPr="00215E4C">
        <w:rPr>
          <w:rFonts w:ascii="Times New Roman" w:hAnsi="Times New Roman" w:cs="Times New Roman"/>
          <w:sz w:val="24"/>
          <w:szCs w:val="24"/>
        </w:rPr>
        <w:t xml:space="preserve">spełnił kryteria wyboru projektów, jednak dostępna alokacja w ramach naboru nie pozwala na powierzenie grantu, </w:t>
      </w:r>
      <w:r w:rsidR="00004C5C">
        <w:rPr>
          <w:rFonts w:ascii="Times New Roman" w:hAnsi="Times New Roman" w:cs="Times New Roman"/>
          <w:sz w:val="24"/>
          <w:szCs w:val="24"/>
        </w:rPr>
        <w:t>albo</w:t>
      </w:r>
    </w:p>
    <w:p w14:paraId="313BFC1B" w14:textId="7B82894D" w:rsidR="00AD3B4B" w:rsidRPr="00215E4C" w:rsidRDefault="00CD52D0" w:rsidP="00223CAE">
      <w:pPr>
        <w:pStyle w:val="Akapitzlist"/>
        <w:numPr>
          <w:ilvl w:val="0"/>
          <w:numId w:val="25"/>
        </w:numPr>
        <w:autoSpaceDE w:val="0"/>
        <w:autoSpaceDN w:val="0"/>
        <w:spacing w:after="120"/>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projekt </w:t>
      </w:r>
      <w:r w:rsidR="00AD3B4B" w:rsidRPr="00215E4C">
        <w:rPr>
          <w:rFonts w:ascii="Times New Roman" w:hAnsi="Times New Roman" w:cs="Times New Roman"/>
          <w:sz w:val="24"/>
          <w:szCs w:val="24"/>
        </w:rPr>
        <w:t>nie spełnił kryteriów wyboru projektów.</w:t>
      </w:r>
    </w:p>
    <w:p w14:paraId="654364D5" w14:textId="4A9EA2C4" w:rsidR="00AD3B4B" w:rsidRPr="00215E4C" w:rsidRDefault="00AD3B4B" w:rsidP="00223CAE">
      <w:pPr>
        <w:pStyle w:val="Akapitzlist"/>
        <w:numPr>
          <w:ilvl w:val="0"/>
          <w:numId w:val="26"/>
        </w:numPr>
        <w:autoSpaceDE w:val="0"/>
        <w:autoSpaceDN w:val="0"/>
        <w:spacing w:after="120"/>
        <w:ind w:left="284" w:hanging="284"/>
        <w:contextualSpacing w:val="0"/>
        <w:jc w:val="both"/>
        <w:rPr>
          <w:rFonts w:ascii="Times New Roman" w:hAnsi="Times New Roman" w:cs="Times New Roman"/>
          <w:sz w:val="24"/>
          <w:szCs w:val="24"/>
        </w:rPr>
      </w:pPr>
      <w:r w:rsidRPr="00215E4C">
        <w:rPr>
          <w:rFonts w:ascii="Times New Roman" w:hAnsi="Times New Roman" w:cs="Times New Roman"/>
          <w:sz w:val="24"/>
          <w:szCs w:val="24"/>
        </w:rPr>
        <w:t xml:space="preserve">W oparciu o ocenę projektów </w:t>
      </w:r>
      <w:r w:rsidR="00666DE0">
        <w:rPr>
          <w:rFonts w:ascii="Times New Roman" w:hAnsi="Times New Roman" w:cs="Times New Roman"/>
          <w:sz w:val="24"/>
          <w:szCs w:val="24"/>
        </w:rPr>
        <w:t>PARP</w:t>
      </w:r>
      <w:r w:rsidR="00666DE0" w:rsidRPr="00215E4C">
        <w:rPr>
          <w:rFonts w:ascii="Times New Roman" w:hAnsi="Times New Roman" w:cs="Times New Roman"/>
          <w:sz w:val="24"/>
          <w:szCs w:val="24"/>
        </w:rPr>
        <w:t xml:space="preserve"> </w:t>
      </w:r>
      <w:r w:rsidRPr="00215E4C">
        <w:rPr>
          <w:rFonts w:ascii="Times New Roman" w:hAnsi="Times New Roman" w:cs="Times New Roman"/>
          <w:sz w:val="24"/>
          <w:szCs w:val="24"/>
        </w:rPr>
        <w:t>sporządza i zatwierdza listę rankingową ocenionych projektów zawierającą przyznane oceny z wyróżnieniem projektów wybranych do powierzenia grantu.</w:t>
      </w:r>
      <w:r w:rsidR="0096798E">
        <w:rPr>
          <w:rFonts w:ascii="Times New Roman" w:hAnsi="Times New Roman" w:cs="Times New Roman"/>
          <w:sz w:val="24"/>
          <w:szCs w:val="24"/>
        </w:rPr>
        <w:t xml:space="preserve"> </w:t>
      </w:r>
      <w:r w:rsidR="0096798E" w:rsidRPr="0096798E">
        <w:rPr>
          <w:rFonts w:ascii="Times New Roman" w:hAnsi="Times New Roman" w:cs="Times New Roman"/>
          <w:sz w:val="24"/>
          <w:szCs w:val="24"/>
        </w:rPr>
        <w:t xml:space="preserve">W przypadku przekroczenia alokacji w ramach naboru, pierwszeństwo będą miały wnioski, które uzyskały największą liczbę punktów w ocenie merytorycznej SMEI F1 H2020 (na podstawie Evaluation Summary Report – raportu z oceny dokonanej w ramach SMEI F1 H2020). </w:t>
      </w:r>
    </w:p>
    <w:p w14:paraId="65803517" w14:textId="10576A29" w:rsidR="00AD3B4B" w:rsidRDefault="00AD3B4B">
      <w:pPr>
        <w:pStyle w:val="Akapitzlist"/>
        <w:numPr>
          <w:ilvl w:val="0"/>
          <w:numId w:val="26"/>
        </w:numPr>
        <w:autoSpaceDE w:val="0"/>
        <w:autoSpaceDN w:val="0"/>
        <w:spacing w:after="120"/>
        <w:ind w:left="284" w:hanging="284"/>
        <w:contextualSpacing w:val="0"/>
        <w:jc w:val="both"/>
        <w:rPr>
          <w:rFonts w:ascii="Times New Roman" w:hAnsi="Times New Roman" w:cs="Times New Roman"/>
          <w:sz w:val="24"/>
          <w:szCs w:val="24"/>
        </w:rPr>
      </w:pPr>
      <w:r w:rsidRPr="004B5CC6">
        <w:rPr>
          <w:rFonts w:ascii="Times New Roman" w:hAnsi="Times New Roman" w:cs="Times New Roman"/>
          <w:sz w:val="24"/>
          <w:szCs w:val="24"/>
        </w:rPr>
        <w:t xml:space="preserve">Wybór projektów do powierzenia grantów następuje poprzez zatwierdzenie przez </w:t>
      </w:r>
      <w:r w:rsidR="00666DE0">
        <w:rPr>
          <w:rFonts w:ascii="Times New Roman" w:hAnsi="Times New Roman" w:cs="Times New Roman"/>
          <w:sz w:val="24"/>
          <w:szCs w:val="24"/>
        </w:rPr>
        <w:t>PARP</w:t>
      </w:r>
      <w:r w:rsidR="00666DE0" w:rsidRPr="004B5CC6">
        <w:rPr>
          <w:rFonts w:ascii="Times New Roman" w:hAnsi="Times New Roman" w:cs="Times New Roman"/>
          <w:sz w:val="24"/>
          <w:szCs w:val="24"/>
        </w:rPr>
        <w:t xml:space="preserve"> </w:t>
      </w:r>
      <w:r w:rsidRPr="004B5CC6">
        <w:rPr>
          <w:rFonts w:ascii="Times New Roman" w:hAnsi="Times New Roman" w:cs="Times New Roman"/>
          <w:sz w:val="24"/>
          <w:szCs w:val="24"/>
        </w:rPr>
        <w:t>listy, o której mowa w ust. 3, w terminie 15 dni od zakończenia procesu ocen</w:t>
      </w:r>
      <w:r w:rsidR="004B5CC6">
        <w:rPr>
          <w:rFonts w:ascii="Times New Roman" w:hAnsi="Times New Roman" w:cs="Times New Roman"/>
          <w:sz w:val="24"/>
          <w:szCs w:val="24"/>
        </w:rPr>
        <w:t>y</w:t>
      </w:r>
      <w:r w:rsidR="001131A9">
        <w:rPr>
          <w:rFonts w:ascii="Times New Roman" w:hAnsi="Times New Roman" w:cs="Times New Roman"/>
          <w:sz w:val="24"/>
          <w:szCs w:val="24"/>
        </w:rPr>
        <w:t>,</w:t>
      </w:r>
      <w:r w:rsidRPr="004B5CC6">
        <w:rPr>
          <w:rFonts w:ascii="Times New Roman" w:hAnsi="Times New Roman" w:cs="Times New Roman"/>
          <w:sz w:val="24"/>
          <w:szCs w:val="24"/>
        </w:rPr>
        <w:t xml:space="preserve"> </w:t>
      </w:r>
      <w:r w:rsidRPr="00215E4C">
        <w:rPr>
          <w:rFonts w:ascii="Times New Roman" w:hAnsi="Times New Roman" w:cs="Times New Roman"/>
          <w:sz w:val="24"/>
          <w:szCs w:val="24"/>
        </w:rPr>
        <w:t xml:space="preserve">o którym mowa w § 8 ust. </w:t>
      </w:r>
      <w:r w:rsidR="001131A9">
        <w:rPr>
          <w:rFonts w:ascii="Times New Roman" w:hAnsi="Times New Roman" w:cs="Times New Roman"/>
          <w:sz w:val="24"/>
          <w:szCs w:val="24"/>
        </w:rPr>
        <w:t>5</w:t>
      </w:r>
      <w:r w:rsidRPr="00215E4C">
        <w:rPr>
          <w:rFonts w:ascii="Times New Roman" w:hAnsi="Times New Roman" w:cs="Times New Roman"/>
          <w:sz w:val="24"/>
          <w:szCs w:val="24"/>
        </w:rPr>
        <w:t>.</w:t>
      </w:r>
    </w:p>
    <w:p w14:paraId="196E0521" w14:textId="77777777" w:rsidR="00AD3B4B" w:rsidRPr="004B5CC6" w:rsidRDefault="00AD3B4B" w:rsidP="00FD6415">
      <w:pPr>
        <w:pStyle w:val="Akapitzlist"/>
        <w:autoSpaceDE w:val="0"/>
        <w:autoSpaceDN w:val="0"/>
        <w:spacing w:after="120"/>
        <w:ind w:left="284"/>
        <w:contextualSpacing w:val="0"/>
        <w:jc w:val="both"/>
        <w:rPr>
          <w:rFonts w:ascii="Times New Roman" w:hAnsi="Times New Roman" w:cs="Times New Roman"/>
          <w:sz w:val="24"/>
          <w:szCs w:val="24"/>
        </w:rPr>
      </w:pPr>
    </w:p>
    <w:p w14:paraId="598BC686" w14:textId="1DF8BB39" w:rsidR="00AD3B4B" w:rsidRPr="00215E4C" w:rsidRDefault="00AD3B4B" w:rsidP="00AD3B4B">
      <w:pPr>
        <w:pStyle w:val="Default"/>
        <w:spacing w:before="120" w:after="120" w:line="271" w:lineRule="auto"/>
        <w:jc w:val="center"/>
        <w:rPr>
          <w:b/>
          <w:bCs/>
          <w:color w:val="auto"/>
        </w:rPr>
      </w:pPr>
      <w:r>
        <w:rPr>
          <w:b/>
          <w:bCs/>
          <w:color w:val="auto"/>
        </w:rPr>
        <w:t>§ 10</w:t>
      </w:r>
    </w:p>
    <w:p w14:paraId="624BF146" w14:textId="19B21C2C" w:rsidR="00AD3B4B" w:rsidRPr="00215E4C" w:rsidRDefault="00AD3B4B" w:rsidP="00AD3B4B">
      <w:pPr>
        <w:pStyle w:val="Default"/>
        <w:spacing w:before="120" w:after="120" w:line="271" w:lineRule="auto"/>
        <w:jc w:val="center"/>
        <w:rPr>
          <w:b/>
          <w:bCs/>
          <w:color w:val="auto"/>
        </w:rPr>
      </w:pPr>
      <w:r w:rsidRPr="00215E4C">
        <w:rPr>
          <w:b/>
          <w:bCs/>
          <w:color w:val="auto"/>
        </w:rPr>
        <w:t xml:space="preserve">Informacja o </w:t>
      </w:r>
      <w:r w:rsidR="00662FA9">
        <w:rPr>
          <w:b/>
          <w:bCs/>
          <w:color w:val="auto"/>
        </w:rPr>
        <w:t xml:space="preserve">wybraniu projektu do </w:t>
      </w:r>
      <w:r w:rsidRPr="00215E4C">
        <w:rPr>
          <w:b/>
          <w:bCs/>
          <w:color w:val="auto"/>
        </w:rPr>
        <w:t>powierzeni</w:t>
      </w:r>
      <w:r w:rsidR="00662FA9">
        <w:rPr>
          <w:b/>
          <w:bCs/>
          <w:color w:val="auto"/>
        </w:rPr>
        <w:t>a</w:t>
      </w:r>
      <w:r w:rsidRPr="00215E4C">
        <w:rPr>
          <w:b/>
          <w:bCs/>
          <w:color w:val="auto"/>
        </w:rPr>
        <w:t xml:space="preserve"> grantu</w:t>
      </w:r>
    </w:p>
    <w:p w14:paraId="306675AF" w14:textId="0BDFCBBA" w:rsidR="00AD3B4B" w:rsidRDefault="00AD3B4B" w:rsidP="00223CAE">
      <w:pPr>
        <w:pStyle w:val="Akapitzlist"/>
        <w:numPr>
          <w:ilvl w:val="0"/>
          <w:numId w:val="27"/>
        </w:numPr>
        <w:autoSpaceDE w:val="0"/>
        <w:autoSpaceDN w:val="0"/>
        <w:spacing w:after="120"/>
        <w:ind w:left="426"/>
        <w:jc w:val="both"/>
        <w:rPr>
          <w:rFonts w:ascii="Times New Roman" w:hAnsi="Times New Roman" w:cs="Times New Roman"/>
          <w:sz w:val="24"/>
          <w:szCs w:val="24"/>
        </w:rPr>
      </w:pPr>
      <w:r w:rsidRPr="00215E4C">
        <w:rPr>
          <w:rFonts w:ascii="Times New Roman" w:hAnsi="Times New Roman" w:cs="Times New Roman"/>
          <w:sz w:val="24"/>
          <w:szCs w:val="24"/>
        </w:rPr>
        <w:t xml:space="preserve">Niezwłocznie po zakończeniu </w:t>
      </w:r>
      <w:r w:rsidR="003E7B4C">
        <w:rPr>
          <w:rFonts w:ascii="Times New Roman" w:hAnsi="Times New Roman" w:cs="Times New Roman"/>
          <w:sz w:val="24"/>
          <w:szCs w:val="24"/>
        </w:rPr>
        <w:t xml:space="preserve">procesu </w:t>
      </w:r>
      <w:r w:rsidRPr="00215E4C">
        <w:rPr>
          <w:rFonts w:ascii="Times New Roman" w:hAnsi="Times New Roman" w:cs="Times New Roman"/>
          <w:sz w:val="24"/>
          <w:szCs w:val="24"/>
        </w:rPr>
        <w:t xml:space="preserve">oceny, o którym mowa w § </w:t>
      </w:r>
      <w:r>
        <w:rPr>
          <w:rFonts w:ascii="Times New Roman" w:hAnsi="Times New Roman" w:cs="Times New Roman"/>
          <w:sz w:val="24"/>
          <w:szCs w:val="24"/>
        </w:rPr>
        <w:t>8</w:t>
      </w:r>
      <w:r w:rsidRPr="00215E4C">
        <w:rPr>
          <w:rFonts w:ascii="Times New Roman" w:hAnsi="Times New Roman" w:cs="Times New Roman"/>
          <w:sz w:val="24"/>
          <w:szCs w:val="24"/>
        </w:rPr>
        <w:t xml:space="preserve">, PARP pisemnie informuje każdego z wnioskodawców o wynikach oceny jego projektu wraz z uzasadnieniem oceny. </w:t>
      </w:r>
    </w:p>
    <w:p w14:paraId="15223A5E" w14:textId="4D46D543" w:rsidR="00AD3B4B" w:rsidRPr="00AD3B4B" w:rsidRDefault="00AD3B4B" w:rsidP="00223CAE">
      <w:pPr>
        <w:pStyle w:val="Akapitzlist"/>
        <w:numPr>
          <w:ilvl w:val="0"/>
          <w:numId w:val="27"/>
        </w:numPr>
        <w:autoSpaceDE w:val="0"/>
        <w:autoSpaceDN w:val="0"/>
        <w:spacing w:after="120"/>
        <w:ind w:left="426"/>
        <w:jc w:val="both"/>
        <w:rPr>
          <w:rFonts w:ascii="Times New Roman" w:hAnsi="Times New Roman" w:cs="Times New Roman"/>
          <w:sz w:val="24"/>
          <w:szCs w:val="24"/>
        </w:rPr>
      </w:pPr>
      <w:r w:rsidRPr="00215E4C">
        <w:rPr>
          <w:rFonts w:ascii="Times New Roman" w:hAnsi="Times New Roman" w:cs="Times New Roman"/>
          <w:sz w:val="24"/>
          <w:szCs w:val="24"/>
        </w:rPr>
        <w:lastRenderedPageBreak/>
        <w:t xml:space="preserve">W terminie </w:t>
      </w:r>
      <w:r w:rsidR="002B2279">
        <w:rPr>
          <w:rFonts w:ascii="Times New Roman" w:hAnsi="Times New Roman" w:cs="Times New Roman"/>
          <w:sz w:val="24"/>
          <w:szCs w:val="24"/>
        </w:rPr>
        <w:t>7</w:t>
      </w:r>
      <w:r w:rsidRPr="00215E4C">
        <w:rPr>
          <w:rFonts w:ascii="Times New Roman" w:hAnsi="Times New Roman" w:cs="Times New Roman"/>
          <w:sz w:val="24"/>
          <w:szCs w:val="24"/>
        </w:rPr>
        <w:t xml:space="preserve"> dni od dnia </w:t>
      </w:r>
      <w:r w:rsidR="00662FA9">
        <w:rPr>
          <w:rFonts w:ascii="Times New Roman" w:hAnsi="Times New Roman" w:cs="Times New Roman"/>
          <w:sz w:val="24"/>
          <w:szCs w:val="24"/>
        </w:rPr>
        <w:t>zatwierdzenia listy</w:t>
      </w:r>
      <w:r w:rsidRPr="00215E4C">
        <w:rPr>
          <w:rFonts w:ascii="Times New Roman" w:hAnsi="Times New Roman" w:cs="Times New Roman"/>
          <w:sz w:val="24"/>
          <w:szCs w:val="24"/>
        </w:rPr>
        <w:t>, o któr</w:t>
      </w:r>
      <w:r w:rsidR="00F51411">
        <w:rPr>
          <w:rFonts w:ascii="Times New Roman" w:hAnsi="Times New Roman" w:cs="Times New Roman"/>
          <w:sz w:val="24"/>
          <w:szCs w:val="24"/>
        </w:rPr>
        <w:t>ej</w:t>
      </w:r>
      <w:r w:rsidRPr="00215E4C">
        <w:rPr>
          <w:rFonts w:ascii="Times New Roman" w:hAnsi="Times New Roman" w:cs="Times New Roman"/>
          <w:sz w:val="24"/>
          <w:szCs w:val="24"/>
        </w:rPr>
        <w:t xml:space="preserve"> mowa w § </w:t>
      </w:r>
      <w:r>
        <w:rPr>
          <w:rFonts w:ascii="Times New Roman" w:hAnsi="Times New Roman" w:cs="Times New Roman"/>
          <w:sz w:val="24"/>
          <w:szCs w:val="24"/>
        </w:rPr>
        <w:t>9</w:t>
      </w:r>
      <w:r w:rsidRPr="00215E4C">
        <w:rPr>
          <w:rFonts w:ascii="Times New Roman" w:hAnsi="Times New Roman" w:cs="Times New Roman"/>
          <w:sz w:val="24"/>
          <w:szCs w:val="24"/>
        </w:rPr>
        <w:t xml:space="preserve"> ust. </w:t>
      </w:r>
      <w:r w:rsidR="00662FA9">
        <w:rPr>
          <w:rFonts w:ascii="Times New Roman" w:hAnsi="Times New Roman" w:cs="Times New Roman"/>
          <w:sz w:val="24"/>
          <w:szCs w:val="24"/>
        </w:rPr>
        <w:t>3</w:t>
      </w:r>
      <w:r w:rsidRPr="00215E4C">
        <w:rPr>
          <w:rFonts w:ascii="Times New Roman" w:hAnsi="Times New Roman" w:cs="Times New Roman"/>
          <w:sz w:val="24"/>
          <w:szCs w:val="24"/>
        </w:rPr>
        <w:t xml:space="preserve">, PARP publikuje na swojej stronie internetowej oraz na </w:t>
      </w:r>
      <w:r w:rsidRPr="00F03502">
        <w:rPr>
          <w:rFonts w:ascii="Times New Roman" w:hAnsi="Times New Roman" w:cs="Times New Roman"/>
          <w:sz w:val="24"/>
          <w:szCs w:val="24"/>
        </w:rPr>
        <w:t>portalu</w:t>
      </w:r>
      <w:r w:rsidR="00F03502" w:rsidRPr="00F03502">
        <w:rPr>
          <w:rFonts w:ascii="Times New Roman" w:hAnsi="Times New Roman" w:cs="Times New Roman"/>
          <w:sz w:val="24"/>
          <w:szCs w:val="24"/>
        </w:rPr>
        <w:t xml:space="preserve"> </w:t>
      </w:r>
      <w:hyperlink r:id="rId11" w:history="1">
        <w:r w:rsidR="00F03502" w:rsidRPr="009B1DEB">
          <w:rPr>
            <w:rStyle w:val="czeinternetowe"/>
            <w:rFonts w:eastAsia="Calibri"/>
            <w:sz w:val="24"/>
            <w:szCs w:val="24"/>
          </w:rPr>
          <w:t>www.funduszeeuropejskie.gov.pl</w:t>
        </w:r>
      </w:hyperlink>
      <w:r w:rsidRPr="00F03502">
        <w:rPr>
          <w:rFonts w:ascii="Times New Roman" w:hAnsi="Times New Roman" w:cs="Times New Roman"/>
          <w:sz w:val="24"/>
          <w:szCs w:val="24"/>
        </w:rPr>
        <w:t>,</w:t>
      </w:r>
      <w:r w:rsidRPr="00215E4C">
        <w:rPr>
          <w:rFonts w:ascii="Times New Roman" w:hAnsi="Times New Roman" w:cs="Times New Roman"/>
          <w:sz w:val="24"/>
          <w:szCs w:val="24"/>
        </w:rPr>
        <w:t xml:space="preserve"> listę projektów, które spełniły kryteria</w:t>
      </w:r>
      <w:r w:rsidR="00662FA9" w:rsidRPr="00662FA9">
        <w:rPr>
          <w:rFonts w:ascii="Times New Roman" w:hAnsi="Times New Roman" w:cs="Times New Roman"/>
          <w:sz w:val="24"/>
          <w:szCs w:val="24"/>
        </w:rPr>
        <w:t xml:space="preserve"> </w:t>
      </w:r>
      <w:r w:rsidR="00662FA9" w:rsidRPr="00215E4C">
        <w:rPr>
          <w:rFonts w:ascii="Times New Roman" w:hAnsi="Times New Roman" w:cs="Times New Roman"/>
          <w:sz w:val="24"/>
          <w:szCs w:val="24"/>
        </w:rPr>
        <w:t>wyboru projektów</w:t>
      </w:r>
      <w:r w:rsidR="00F51411" w:rsidRPr="00EE1F16">
        <w:rPr>
          <w:rFonts w:ascii="Times New Roman" w:hAnsi="Times New Roman" w:cs="Times New Roman"/>
          <w:sz w:val="24"/>
          <w:szCs w:val="24"/>
        </w:rPr>
        <w:t>, z wyróżnieniem projektów wybranych do powierzenia grantu</w:t>
      </w:r>
      <w:r w:rsidRPr="00215E4C">
        <w:rPr>
          <w:rFonts w:ascii="Times New Roman" w:hAnsi="Times New Roman" w:cs="Times New Roman"/>
          <w:sz w:val="24"/>
          <w:szCs w:val="24"/>
        </w:rPr>
        <w:t>.</w:t>
      </w:r>
    </w:p>
    <w:p w14:paraId="378DD05F" w14:textId="77777777" w:rsidR="003B07C0" w:rsidRDefault="003B07C0" w:rsidP="00AD3B4B">
      <w:pPr>
        <w:pStyle w:val="Default"/>
        <w:spacing w:before="120" w:after="120" w:line="271" w:lineRule="auto"/>
        <w:jc w:val="center"/>
        <w:rPr>
          <w:b/>
          <w:bCs/>
          <w:color w:val="auto"/>
        </w:rPr>
      </w:pPr>
    </w:p>
    <w:p w14:paraId="1979D152" w14:textId="0E8C0E07" w:rsidR="00B47007" w:rsidRPr="00CC7265" w:rsidRDefault="00B47007" w:rsidP="00AD3B4B">
      <w:pPr>
        <w:pStyle w:val="Default"/>
        <w:spacing w:before="120" w:after="120" w:line="271" w:lineRule="auto"/>
        <w:jc w:val="center"/>
        <w:rPr>
          <w:color w:val="auto"/>
        </w:rPr>
      </w:pPr>
      <w:r w:rsidRPr="00CC7265">
        <w:rPr>
          <w:b/>
          <w:bCs/>
          <w:color w:val="auto"/>
        </w:rPr>
        <w:t xml:space="preserve">§ </w:t>
      </w:r>
      <w:r w:rsidR="00AD3B4B">
        <w:rPr>
          <w:b/>
          <w:bCs/>
          <w:color w:val="auto"/>
        </w:rPr>
        <w:t>11</w:t>
      </w:r>
      <w:r w:rsidRPr="00CC7265">
        <w:rPr>
          <w:b/>
          <w:bCs/>
          <w:color w:val="auto"/>
        </w:rPr>
        <w:t>.</w:t>
      </w:r>
    </w:p>
    <w:p w14:paraId="71600131" w14:textId="77777777" w:rsidR="00B47007" w:rsidRPr="00CC7265" w:rsidRDefault="00BE07E4" w:rsidP="004D4892">
      <w:pPr>
        <w:pStyle w:val="Default"/>
        <w:tabs>
          <w:tab w:val="left" w:pos="3435"/>
          <w:tab w:val="center" w:pos="4536"/>
        </w:tabs>
        <w:spacing w:before="120" w:after="120" w:line="271" w:lineRule="auto"/>
        <w:jc w:val="center"/>
        <w:rPr>
          <w:color w:val="auto"/>
        </w:rPr>
      </w:pPr>
      <w:r w:rsidRPr="00CC7265">
        <w:rPr>
          <w:b/>
          <w:bCs/>
          <w:color w:val="auto"/>
        </w:rPr>
        <w:t>Warunki zawarcia umowy o p</w:t>
      </w:r>
      <w:r w:rsidR="00B47007" w:rsidRPr="00CC7265">
        <w:rPr>
          <w:b/>
          <w:bCs/>
          <w:color w:val="auto"/>
        </w:rPr>
        <w:t>owierzenie grantu</w:t>
      </w:r>
    </w:p>
    <w:p w14:paraId="0B1A9CCE" w14:textId="2C3446EC" w:rsidR="00A976BF" w:rsidRPr="00CC7265" w:rsidRDefault="00666DE0" w:rsidP="00223CAE">
      <w:pPr>
        <w:pStyle w:val="Default"/>
        <w:numPr>
          <w:ilvl w:val="0"/>
          <w:numId w:val="6"/>
        </w:numPr>
        <w:spacing w:before="120" w:after="120" w:line="271" w:lineRule="auto"/>
        <w:ind w:left="426" w:hanging="426"/>
        <w:jc w:val="both"/>
        <w:rPr>
          <w:color w:val="auto"/>
        </w:rPr>
      </w:pPr>
      <w:r>
        <w:rPr>
          <w:color w:val="auto"/>
        </w:rPr>
        <w:t>PARP</w:t>
      </w:r>
      <w:r w:rsidRPr="00CC7265">
        <w:rPr>
          <w:color w:val="auto"/>
        </w:rPr>
        <w:t xml:space="preserve"> </w:t>
      </w:r>
      <w:r w:rsidR="00B47007" w:rsidRPr="00CC7265">
        <w:rPr>
          <w:color w:val="auto"/>
        </w:rPr>
        <w:t xml:space="preserve">powierza grant na podstawie pisemnej umowy o powierzenie grantu zawartej z </w:t>
      </w:r>
      <w:r w:rsidR="00C37E2F">
        <w:rPr>
          <w:color w:val="auto"/>
        </w:rPr>
        <w:t>wnioskodawcą</w:t>
      </w:r>
      <w:r w:rsidR="00B674BB">
        <w:rPr>
          <w:color w:val="auto"/>
        </w:rPr>
        <w:t xml:space="preserve">, według wzoru stanowiącego załącznik nr </w:t>
      </w:r>
      <w:r w:rsidR="00ED382B">
        <w:rPr>
          <w:color w:val="auto"/>
        </w:rPr>
        <w:t xml:space="preserve">7 </w:t>
      </w:r>
      <w:r w:rsidR="00B674BB">
        <w:rPr>
          <w:color w:val="auto"/>
        </w:rPr>
        <w:t xml:space="preserve">do Regulaminu </w:t>
      </w:r>
      <w:r w:rsidR="00527255">
        <w:rPr>
          <w:color w:val="auto"/>
        </w:rPr>
        <w:t>nabor</w:t>
      </w:r>
      <w:r w:rsidR="00B674BB">
        <w:rPr>
          <w:color w:val="auto"/>
        </w:rPr>
        <w:t>u</w:t>
      </w:r>
      <w:r w:rsidR="00B47007" w:rsidRPr="00CC7265">
        <w:rPr>
          <w:color w:val="auto"/>
        </w:rPr>
        <w:t xml:space="preserve">. </w:t>
      </w:r>
    </w:p>
    <w:p w14:paraId="16FE42CF" w14:textId="6421F259" w:rsidR="00B47007" w:rsidRDefault="00B47007" w:rsidP="00223CAE">
      <w:pPr>
        <w:pStyle w:val="Default"/>
        <w:numPr>
          <w:ilvl w:val="0"/>
          <w:numId w:val="6"/>
        </w:numPr>
        <w:spacing w:before="120" w:after="120" w:line="271" w:lineRule="auto"/>
        <w:ind w:left="426" w:hanging="426"/>
        <w:jc w:val="both"/>
        <w:rPr>
          <w:color w:val="auto"/>
        </w:rPr>
      </w:pPr>
      <w:r w:rsidRPr="00CC7265">
        <w:rPr>
          <w:color w:val="auto"/>
        </w:rPr>
        <w:t>Przed zawarciem umowy o powierzenie grantu</w:t>
      </w:r>
      <w:r w:rsidR="00FE4532">
        <w:rPr>
          <w:color w:val="auto"/>
        </w:rPr>
        <w:t>,</w:t>
      </w:r>
      <w:r w:rsidRPr="00CC7265">
        <w:rPr>
          <w:color w:val="auto"/>
        </w:rPr>
        <w:t xml:space="preserve"> </w:t>
      </w:r>
      <w:r w:rsidR="00666DE0">
        <w:rPr>
          <w:color w:val="auto"/>
        </w:rPr>
        <w:t>PARP</w:t>
      </w:r>
      <w:r w:rsidR="00666DE0" w:rsidRPr="00CC7265">
        <w:rPr>
          <w:color w:val="auto"/>
        </w:rPr>
        <w:t xml:space="preserve"> </w:t>
      </w:r>
      <w:r w:rsidR="001350E0">
        <w:rPr>
          <w:color w:val="auto"/>
        </w:rPr>
        <w:t xml:space="preserve">zwraca się do </w:t>
      </w:r>
      <w:r w:rsidR="00C37E2F">
        <w:rPr>
          <w:color w:val="auto"/>
        </w:rPr>
        <w:t>wnioskodawc</w:t>
      </w:r>
      <w:r w:rsidR="001350E0">
        <w:rPr>
          <w:color w:val="auto"/>
        </w:rPr>
        <w:t>y</w:t>
      </w:r>
      <w:r w:rsidR="00C37E2F">
        <w:rPr>
          <w:color w:val="auto"/>
        </w:rPr>
        <w:t xml:space="preserve"> </w:t>
      </w:r>
      <w:r w:rsidR="001350E0">
        <w:rPr>
          <w:color w:val="auto"/>
        </w:rPr>
        <w:t xml:space="preserve">z prośbą o </w:t>
      </w:r>
      <w:r w:rsidR="003067AE">
        <w:rPr>
          <w:color w:val="auto"/>
        </w:rPr>
        <w:t>dostarczeni</w:t>
      </w:r>
      <w:r w:rsidR="001350E0">
        <w:rPr>
          <w:color w:val="auto"/>
        </w:rPr>
        <w:t>e</w:t>
      </w:r>
      <w:r w:rsidR="003067AE">
        <w:rPr>
          <w:color w:val="auto"/>
        </w:rPr>
        <w:t xml:space="preserve"> dokumentów niezbędnych do zawarcia umowy o powierzenie grantu wymienionych w załączniku nr </w:t>
      </w:r>
      <w:r w:rsidR="00ED382B">
        <w:rPr>
          <w:color w:val="auto"/>
        </w:rPr>
        <w:t xml:space="preserve">8 </w:t>
      </w:r>
      <w:r w:rsidR="003067AE">
        <w:rPr>
          <w:color w:val="auto"/>
        </w:rPr>
        <w:t>do</w:t>
      </w:r>
      <w:r w:rsidR="00FE4532">
        <w:rPr>
          <w:color w:val="auto"/>
        </w:rPr>
        <w:t xml:space="preserve"> </w:t>
      </w:r>
      <w:r w:rsidR="003067AE">
        <w:rPr>
          <w:color w:val="auto"/>
        </w:rPr>
        <w:t>Regulaminu</w:t>
      </w:r>
      <w:r w:rsidR="00C26922">
        <w:rPr>
          <w:color w:val="auto"/>
        </w:rPr>
        <w:t xml:space="preserve"> naboru</w:t>
      </w:r>
      <w:r w:rsidR="003067AE">
        <w:rPr>
          <w:color w:val="auto"/>
        </w:rPr>
        <w:t>.</w:t>
      </w:r>
      <w:r w:rsidRPr="00CC7265">
        <w:rPr>
          <w:color w:val="auto"/>
        </w:rPr>
        <w:t xml:space="preserve"> </w:t>
      </w:r>
    </w:p>
    <w:p w14:paraId="3355CCFA" w14:textId="4232C6A1" w:rsidR="003067AE" w:rsidRPr="00CC7265" w:rsidRDefault="00C37E2F" w:rsidP="00223CAE">
      <w:pPr>
        <w:pStyle w:val="Default"/>
        <w:numPr>
          <w:ilvl w:val="0"/>
          <w:numId w:val="6"/>
        </w:numPr>
        <w:spacing w:before="120" w:after="120" w:line="271" w:lineRule="auto"/>
        <w:ind w:left="426" w:hanging="426"/>
        <w:jc w:val="both"/>
        <w:rPr>
          <w:color w:val="auto"/>
        </w:rPr>
      </w:pPr>
      <w:r>
        <w:rPr>
          <w:color w:val="auto"/>
        </w:rPr>
        <w:t xml:space="preserve">Wnioskodawca </w:t>
      </w:r>
      <w:r w:rsidR="003067AE">
        <w:rPr>
          <w:color w:val="auto"/>
        </w:rPr>
        <w:t>zobowiązany jest dostarczyć dokumenty niezbędne do zawarcia umowy o</w:t>
      </w:r>
      <w:r w:rsidR="00E30258">
        <w:rPr>
          <w:color w:val="auto"/>
        </w:rPr>
        <w:t> </w:t>
      </w:r>
      <w:r w:rsidR="003067AE">
        <w:rPr>
          <w:color w:val="auto"/>
        </w:rPr>
        <w:t xml:space="preserve">powierzenie grantu w terminie 14 dni od dnia doręczenia </w:t>
      </w:r>
      <w:r w:rsidR="001350E0">
        <w:t>zaproszenia do złożenia dokumentów</w:t>
      </w:r>
      <w:r w:rsidR="003067AE">
        <w:rPr>
          <w:color w:val="auto"/>
        </w:rPr>
        <w:t>, o którym mowa w ust</w:t>
      </w:r>
      <w:r w:rsidR="00F51411">
        <w:rPr>
          <w:color w:val="auto"/>
        </w:rPr>
        <w:t>.</w:t>
      </w:r>
      <w:r w:rsidR="003067AE">
        <w:rPr>
          <w:color w:val="auto"/>
        </w:rPr>
        <w:t xml:space="preserve"> 2. W przypadku niedostarczenia kompletnych co do formy i treści  dokumentów w tym terminie</w:t>
      </w:r>
      <w:r w:rsidR="001E2C0E">
        <w:rPr>
          <w:color w:val="auto"/>
        </w:rPr>
        <w:t>,</w:t>
      </w:r>
      <w:r w:rsidR="003067AE">
        <w:rPr>
          <w:color w:val="auto"/>
        </w:rPr>
        <w:t xml:space="preserve"> </w:t>
      </w:r>
      <w:r w:rsidR="00666DE0">
        <w:rPr>
          <w:color w:val="auto"/>
        </w:rPr>
        <w:t xml:space="preserve">PARP </w:t>
      </w:r>
      <w:r w:rsidR="003067AE">
        <w:rPr>
          <w:color w:val="auto"/>
        </w:rPr>
        <w:t>może odstąpić od podpisania umowy o powierzenie grantu.</w:t>
      </w:r>
    </w:p>
    <w:p w14:paraId="36D895CB" w14:textId="055B379F" w:rsidR="00C41FE2" w:rsidRDefault="00666DE0" w:rsidP="00223CAE">
      <w:pPr>
        <w:pStyle w:val="Default"/>
        <w:numPr>
          <w:ilvl w:val="0"/>
          <w:numId w:val="6"/>
        </w:numPr>
        <w:spacing w:before="120" w:after="120" w:line="271" w:lineRule="auto"/>
        <w:ind w:left="426" w:hanging="426"/>
        <w:jc w:val="both"/>
        <w:rPr>
          <w:color w:val="auto"/>
        </w:rPr>
      </w:pPr>
      <w:r>
        <w:rPr>
          <w:color w:val="auto"/>
        </w:rPr>
        <w:t>PARP</w:t>
      </w:r>
      <w:r w:rsidRPr="00CC7265">
        <w:rPr>
          <w:color w:val="auto"/>
        </w:rPr>
        <w:t xml:space="preserve"> </w:t>
      </w:r>
      <w:r w:rsidR="00BE07E4" w:rsidRPr="00CC7265">
        <w:rPr>
          <w:color w:val="auto"/>
        </w:rPr>
        <w:t xml:space="preserve">może odmówić </w:t>
      </w:r>
      <w:r w:rsidR="001E2C0E">
        <w:rPr>
          <w:color w:val="auto"/>
        </w:rPr>
        <w:t>powierzenia</w:t>
      </w:r>
      <w:r w:rsidR="001E2C0E" w:rsidRPr="00CC7265">
        <w:rPr>
          <w:color w:val="auto"/>
        </w:rPr>
        <w:t xml:space="preserve"> </w:t>
      </w:r>
      <w:r w:rsidR="006B26D6">
        <w:rPr>
          <w:color w:val="auto"/>
        </w:rPr>
        <w:t>grantu</w:t>
      </w:r>
      <w:r w:rsidR="00BE07E4" w:rsidRPr="00CC7265">
        <w:rPr>
          <w:color w:val="auto"/>
        </w:rPr>
        <w:t xml:space="preserve"> na podstawie art.</w:t>
      </w:r>
      <w:r w:rsidR="00B674BB">
        <w:rPr>
          <w:color w:val="auto"/>
        </w:rPr>
        <w:t xml:space="preserve"> </w:t>
      </w:r>
      <w:r w:rsidR="00BE07E4" w:rsidRPr="00CC7265">
        <w:rPr>
          <w:color w:val="auto"/>
        </w:rPr>
        <w:t>6b ust. 4 i 4a ustawy o PARP.</w:t>
      </w:r>
    </w:p>
    <w:p w14:paraId="12A12F22" w14:textId="177188D5" w:rsidR="00706A8A" w:rsidRDefault="00666DE0" w:rsidP="00223CAE">
      <w:pPr>
        <w:pStyle w:val="Default"/>
        <w:numPr>
          <w:ilvl w:val="0"/>
          <w:numId w:val="6"/>
        </w:numPr>
        <w:spacing w:before="120" w:after="120" w:line="268" w:lineRule="auto"/>
        <w:ind w:left="426"/>
        <w:jc w:val="both"/>
        <w:rPr>
          <w:color w:val="auto"/>
        </w:rPr>
      </w:pPr>
      <w:r>
        <w:rPr>
          <w:color w:val="auto"/>
        </w:rPr>
        <w:t xml:space="preserve">PARP </w:t>
      </w:r>
      <w:r w:rsidR="00706A8A">
        <w:rPr>
          <w:color w:val="auto"/>
        </w:rPr>
        <w:t>może odmówić powierzenia grantu</w:t>
      </w:r>
      <w:r w:rsidR="001E2C0E">
        <w:rPr>
          <w:color w:val="auto"/>
        </w:rPr>
        <w:t>,</w:t>
      </w:r>
      <w:r w:rsidR="00706A8A">
        <w:rPr>
          <w:color w:val="auto"/>
        </w:rPr>
        <w:t xml:space="preserve"> jeżeli stwierdzi, że projekt lub wnioskodawca nie spełniają co najmniej jednego kryterium </w:t>
      </w:r>
      <w:r w:rsidR="00BD0C4C">
        <w:rPr>
          <w:color w:val="auto"/>
        </w:rPr>
        <w:t>wyboru projektów</w:t>
      </w:r>
      <w:r w:rsidR="00706A8A">
        <w:rPr>
          <w:color w:val="auto"/>
        </w:rPr>
        <w:t xml:space="preserve">.  </w:t>
      </w:r>
    </w:p>
    <w:p w14:paraId="008832AA" w14:textId="799B2473" w:rsidR="00C41FE2" w:rsidRPr="00C41FE2" w:rsidRDefault="00C41FE2" w:rsidP="00223CAE">
      <w:pPr>
        <w:pStyle w:val="Default"/>
        <w:numPr>
          <w:ilvl w:val="0"/>
          <w:numId w:val="6"/>
        </w:numPr>
        <w:spacing w:before="120" w:after="120" w:line="271" w:lineRule="auto"/>
        <w:ind w:left="426" w:hanging="426"/>
        <w:jc w:val="both"/>
        <w:rPr>
          <w:color w:val="auto"/>
        </w:rPr>
      </w:pPr>
      <w:r w:rsidRPr="00C41FE2">
        <w:rPr>
          <w:color w:val="auto"/>
        </w:rPr>
        <w:t xml:space="preserve">Wnioskodawca zobowiązany jest do ustanowienia zabezpieczenia należytego wykonania umowy o </w:t>
      </w:r>
      <w:r w:rsidR="001877BF">
        <w:rPr>
          <w:color w:val="auto"/>
        </w:rPr>
        <w:t>powierzenie grantu</w:t>
      </w:r>
      <w:r w:rsidRPr="00C41FE2">
        <w:rPr>
          <w:color w:val="auto"/>
        </w:rPr>
        <w:t xml:space="preserve"> w formie określonej w umowie o powierzenie grantu. Instrukcja przyjmowania oraz zwrotu zabezpieczeń jest udostępniana </w:t>
      </w:r>
      <w:r w:rsidR="001E2C0E">
        <w:rPr>
          <w:color w:val="auto"/>
        </w:rPr>
        <w:t>w</w:t>
      </w:r>
      <w:r w:rsidRPr="00C41FE2">
        <w:rPr>
          <w:color w:val="auto"/>
        </w:rPr>
        <w:t>nioskodawcom wraz z dokumentacją dotyczącą naboru.</w:t>
      </w:r>
    </w:p>
    <w:p w14:paraId="2D411379" w14:textId="77777777" w:rsidR="00943D08" w:rsidRPr="00CC7265" w:rsidRDefault="00943D08" w:rsidP="00FA1E97">
      <w:pPr>
        <w:pStyle w:val="Default"/>
        <w:spacing w:before="120" w:after="120" w:line="271" w:lineRule="auto"/>
        <w:jc w:val="both"/>
        <w:rPr>
          <w:color w:val="auto"/>
        </w:rPr>
      </w:pPr>
    </w:p>
    <w:p w14:paraId="0F54E793" w14:textId="3FB67A05" w:rsidR="005120F2" w:rsidRPr="005120F2" w:rsidRDefault="005120F2" w:rsidP="005120F2">
      <w:pPr>
        <w:jc w:val="center"/>
        <w:rPr>
          <w:rFonts w:ascii="Times New Roman" w:hAnsi="Times New Roman" w:cs="Times New Roman"/>
          <w:b/>
          <w:sz w:val="24"/>
          <w:szCs w:val="24"/>
        </w:rPr>
      </w:pPr>
      <w:r w:rsidRPr="005120F2">
        <w:rPr>
          <w:rFonts w:ascii="Times New Roman" w:eastAsia="Calibri" w:hAnsi="Times New Roman" w:cs="Times New Roman"/>
          <w:b/>
          <w:bCs/>
          <w:color w:val="000000"/>
          <w:sz w:val="24"/>
          <w:szCs w:val="24"/>
        </w:rPr>
        <w:t>§ 1</w:t>
      </w:r>
      <w:r w:rsidR="00443DFA">
        <w:rPr>
          <w:rFonts w:ascii="Times New Roman" w:eastAsia="Calibri" w:hAnsi="Times New Roman" w:cs="Times New Roman"/>
          <w:b/>
          <w:bCs/>
          <w:color w:val="000000"/>
          <w:sz w:val="24"/>
          <w:szCs w:val="24"/>
        </w:rPr>
        <w:t>2</w:t>
      </w:r>
      <w:r>
        <w:rPr>
          <w:rFonts w:ascii="Times New Roman" w:eastAsia="Calibri" w:hAnsi="Times New Roman" w:cs="Times New Roman"/>
          <w:b/>
          <w:bCs/>
          <w:color w:val="000000"/>
          <w:sz w:val="24"/>
          <w:szCs w:val="24"/>
        </w:rPr>
        <w:t>.</w:t>
      </w:r>
    </w:p>
    <w:p w14:paraId="4744B6D0" w14:textId="77777777" w:rsidR="005120F2" w:rsidRPr="005120F2" w:rsidRDefault="005120F2" w:rsidP="005120F2">
      <w:pPr>
        <w:jc w:val="center"/>
        <w:rPr>
          <w:rFonts w:ascii="Times New Roman" w:hAnsi="Times New Roman" w:cs="Times New Roman"/>
          <w:b/>
          <w:sz w:val="24"/>
          <w:szCs w:val="24"/>
        </w:rPr>
      </w:pPr>
      <w:r w:rsidRPr="005120F2">
        <w:rPr>
          <w:rFonts w:ascii="Times New Roman" w:hAnsi="Times New Roman" w:cs="Times New Roman"/>
          <w:b/>
          <w:sz w:val="24"/>
          <w:szCs w:val="24"/>
        </w:rPr>
        <w:t xml:space="preserve">Sposób udzielania wyjaśnień w kwestiach dotyczących </w:t>
      </w:r>
      <w:r w:rsidR="00527255">
        <w:rPr>
          <w:rFonts w:ascii="Times New Roman" w:hAnsi="Times New Roman" w:cs="Times New Roman"/>
          <w:b/>
          <w:sz w:val="24"/>
          <w:szCs w:val="24"/>
        </w:rPr>
        <w:t>nabor</w:t>
      </w:r>
      <w:r w:rsidRPr="005120F2">
        <w:rPr>
          <w:rFonts w:ascii="Times New Roman" w:hAnsi="Times New Roman" w:cs="Times New Roman"/>
          <w:b/>
          <w:sz w:val="24"/>
          <w:szCs w:val="24"/>
        </w:rPr>
        <w:t>u</w:t>
      </w:r>
    </w:p>
    <w:p w14:paraId="1C3789E0" w14:textId="5AA34E26" w:rsidR="009F1B3B" w:rsidRPr="007432DA" w:rsidRDefault="00335B62" w:rsidP="00EE1F16">
      <w:pPr>
        <w:pStyle w:val="Akapitzlist"/>
        <w:numPr>
          <w:ilvl w:val="0"/>
          <w:numId w:val="22"/>
        </w:numPr>
        <w:autoSpaceDE w:val="0"/>
        <w:autoSpaceDN w:val="0"/>
        <w:adjustRightInd w:val="0"/>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7432DA">
        <w:rPr>
          <w:rFonts w:ascii="Times New Roman" w:hAnsi="Times New Roman" w:cs="Times New Roman"/>
          <w:sz w:val="24"/>
          <w:szCs w:val="24"/>
        </w:rPr>
        <w:t xml:space="preserve">ytania </w:t>
      </w:r>
      <w:r w:rsidRPr="009F1B3B">
        <w:rPr>
          <w:rFonts w:ascii="Times New Roman" w:hAnsi="Times New Roman" w:cs="Times New Roman"/>
          <w:sz w:val="24"/>
          <w:szCs w:val="24"/>
        </w:rPr>
        <w:t>dotyczące procedury wyboru projektów oraz składania wniosków o powierzenie grantu</w:t>
      </w:r>
      <w:r w:rsidRPr="007432DA">
        <w:rPr>
          <w:rFonts w:ascii="Times New Roman" w:hAnsi="Times New Roman" w:cs="Times New Roman"/>
          <w:sz w:val="24"/>
          <w:szCs w:val="24"/>
        </w:rPr>
        <w:t xml:space="preserve"> można przesyłać za pośrednictwem formularza kontaktowego dostępnego na stronie internetowej PARP, w zakładce </w:t>
      </w:r>
      <w:r>
        <w:rPr>
          <w:rFonts w:ascii="Times New Roman" w:hAnsi="Times New Roman" w:cs="Times New Roman"/>
          <w:sz w:val="24"/>
          <w:szCs w:val="24"/>
        </w:rPr>
        <w:t>Informatorium</w:t>
      </w:r>
      <w:r w:rsidRPr="007432DA">
        <w:rPr>
          <w:rFonts w:ascii="Times New Roman" w:hAnsi="Times New Roman" w:cs="Times New Roman"/>
          <w:sz w:val="24"/>
          <w:szCs w:val="24"/>
        </w:rPr>
        <w:t xml:space="preserve"> PARP</w:t>
      </w:r>
      <w:r>
        <w:rPr>
          <w:rFonts w:ascii="Times New Roman" w:hAnsi="Times New Roman" w:cs="Times New Roman"/>
          <w:sz w:val="24"/>
          <w:szCs w:val="24"/>
        </w:rPr>
        <w:t xml:space="preserve"> lub w zakładce Pilotażu</w:t>
      </w:r>
      <w:r w:rsidRPr="007432DA">
        <w:rPr>
          <w:rFonts w:ascii="Times New Roman" w:hAnsi="Times New Roman" w:cs="Times New Roman"/>
          <w:sz w:val="24"/>
          <w:szCs w:val="24"/>
        </w:rPr>
        <w:t>.</w:t>
      </w:r>
      <w:r>
        <w:rPr>
          <w:rFonts w:ascii="Times New Roman" w:hAnsi="Times New Roman" w:cs="Times New Roman"/>
          <w:sz w:val="24"/>
          <w:szCs w:val="24"/>
        </w:rPr>
        <w:t xml:space="preserve"> Przed wysłaniem pytania należy zapoznać się z opublikowanymi odpowiedziami, o których mowa w ust. 2.</w:t>
      </w:r>
    </w:p>
    <w:p w14:paraId="0EDBF448" w14:textId="1D7E885D" w:rsidR="009F1B3B" w:rsidRPr="007432DA" w:rsidRDefault="00335B62" w:rsidP="00223CAE">
      <w:pPr>
        <w:pStyle w:val="Akapitzlist"/>
        <w:numPr>
          <w:ilvl w:val="0"/>
          <w:numId w:val="22"/>
        </w:numPr>
        <w:autoSpaceDE w:val="0"/>
        <w:autoSpaceDN w:val="0"/>
        <w:adjustRightInd w:val="0"/>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Odpowiedzi na wszystkie p</w:t>
      </w:r>
      <w:r w:rsidRPr="009F1B3B">
        <w:rPr>
          <w:rFonts w:ascii="Times New Roman" w:hAnsi="Times New Roman" w:cs="Times New Roman"/>
          <w:sz w:val="24"/>
          <w:szCs w:val="24"/>
        </w:rPr>
        <w:t xml:space="preserve">ytania dotyczące procedury wyboru projektów oraz składania wniosków o powierzenie grantu </w:t>
      </w:r>
      <w:r w:rsidR="00027FB9">
        <w:rPr>
          <w:rFonts w:ascii="Times New Roman" w:hAnsi="Times New Roman" w:cs="Times New Roman"/>
          <w:sz w:val="24"/>
          <w:szCs w:val="24"/>
        </w:rPr>
        <w:t xml:space="preserve">są </w:t>
      </w:r>
      <w:r w:rsidRPr="00E474BF">
        <w:rPr>
          <w:rFonts w:ascii="Times New Roman" w:hAnsi="Times New Roman" w:cs="Times New Roman"/>
          <w:sz w:val="24"/>
          <w:szCs w:val="24"/>
        </w:rPr>
        <w:t>udzielane indywidualnie</w:t>
      </w:r>
      <w:r>
        <w:rPr>
          <w:rFonts w:ascii="Times New Roman" w:hAnsi="Times New Roman" w:cs="Times New Roman"/>
          <w:sz w:val="24"/>
          <w:szCs w:val="24"/>
        </w:rPr>
        <w:t xml:space="preserve"> i publikowane</w:t>
      </w:r>
      <w:r w:rsidRPr="009F1B3B">
        <w:rPr>
          <w:rFonts w:ascii="Times New Roman" w:hAnsi="Times New Roman" w:cs="Times New Roman"/>
          <w:sz w:val="24"/>
          <w:szCs w:val="24"/>
        </w:rPr>
        <w:t xml:space="preserve"> na stronie internetowej PARP</w:t>
      </w:r>
      <w:r>
        <w:rPr>
          <w:rFonts w:ascii="Times New Roman" w:hAnsi="Times New Roman" w:cs="Times New Roman"/>
          <w:sz w:val="24"/>
          <w:szCs w:val="24"/>
        </w:rPr>
        <w:t>, w zakładce</w:t>
      </w:r>
      <w:r w:rsidRPr="00332CF0">
        <w:t xml:space="preserve"> </w:t>
      </w:r>
      <w:r w:rsidRPr="00332CF0">
        <w:rPr>
          <w:rFonts w:ascii="Times New Roman" w:hAnsi="Times New Roman" w:cs="Times New Roman"/>
          <w:sz w:val="24"/>
          <w:szCs w:val="24"/>
        </w:rPr>
        <w:t xml:space="preserve">odpowiedniej dla </w:t>
      </w:r>
      <w:r>
        <w:rPr>
          <w:rFonts w:ascii="Times New Roman" w:hAnsi="Times New Roman" w:cs="Times New Roman"/>
          <w:sz w:val="24"/>
          <w:szCs w:val="24"/>
        </w:rPr>
        <w:t>Pilotażu.</w:t>
      </w:r>
      <w:r w:rsidRPr="00EE1F16">
        <w:rPr>
          <w:rFonts w:ascii="Times New Roman" w:hAnsi="Times New Roman"/>
          <w:sz w:val="24"/>
        </w:rPr>
        <w:t xml:space="preserve"> </w:t>
      </w:r>
      <w:r w:rsidRPr="001236C4">
        <w:rPr>
          <w:rFonts w:ascii="Times New Roman" w:hAnsi="Times New Roman"/>
          <w:sz w:val="24"/>
        </w:rPr>
        <w:t xml:space="preserve">Odpowiedzi polegające jedynie na odesłaniu lub przytoczeniu </w:t>
      </w:r>
      <w:r>
        <w:rPr>
          <w:rFonts w:ascii="Times New Roman" w:hAnsi="Times New Roman"/>
          <w:sz w:val="24"/>
        </w:rPr>
        <w:t>postanowień</w:t>
      </w:r>
      <w:r w:rsidRPr="001236C4">
        <w:rPr>
          <w:rFonts w:ascii="Times New Roman" w:hAnsi="Times New Roman"/>
          <w:sz w:val="24"/>
        </w:rPr>
        <w:t xml:space="preserve"> stosownych dokumentów nie będą podlegać publikacji.</w:t>
      </w:r>
    </w:p>
    <w:p w14:paraId="36D78B42" w14:textId="4F57DB6C" w:rsidR="00367F4B" w:rsidRDefault="005120F2" w:rsidP="00223CAE">
      <w:pPr>
        <w:pStyle w:val="Akapitzlist"/>
        <w:numPr>
          <w:ilvl w:val="0"/>
          <w:numId w:val="22"/>
        </w:numPr>
        <w:autoSpaceDE w:val="0"/>
        <w:autoSpaceDN w:val="0"/>
        <w:adjustRightInd w:val="0"/>
        <w:spacing w:after="120" w:line="240" w:lineRule="auto"/>
        <w:ind w:left="426"/>
        <w:jc w:val="both"/>
        <w:rPr>
          <w:rFonts w:ascii="Times New Roman" w:hAnsi="Times New Roman" w:cs="Times New Roman"/>
          <w:sz w:val="24"/>
          <w:szCs w:val="24"/>
        </w:rPr>
      </w:pPr>
      <w:r w:rsidRPr="007432DA">
        <w:rPr>
          <w:rFonts w:ascii="Times New Roman" w:hAnsi="Times New Roman" w:cs="Times New Roman"/>
          <w:sz w:val="24"/>
          <w:szCs w:val="24"/>
        </w:rPr>
        <w:lastRenderedPageBreak/>
        <w:t xml:space="preserve">Wyjaśnień w kwestiach dotyczących </w:t>
      </w:r>
      <w:r w:rsidR="00527255" w:rsidRPr="007432DA">
        <w:rPr>
          <w:rFonts w:ascii="Times New Roman" w:hAnsi="Times New Roman" w:cs="Times New Roman"/>
          <w:sz w:val="24"/>
          <w:szCs w:val="24"/>
        </w:rPr>
        <w:t>nabor</w:t>
      </w:r>
      <w:r w:rsidRPr="007432DA">
        <w:rPr>
          <w:rFonts w:ascii="Times New Roman" w:hAnsi="Times New Roman" w:cs="Times New Roman"/>
          <w:sz w:val="24"/>
          <w:szCs w:val="24"/>
        </w:rPr>
        <w:t>u udziela również Informatorium PARP w odpowiedzi na</w:t>
      </w:r>
      <w:r w:rsidRPr="009F1B3B">
        <w:rPr>
          <w:rFonts w:ascii="Times New Roman" w:hAnsi="Times New Roman" w:cs="Times New Roman"/>
          <w:sz w:val="24"/>
          <w:szCs w:val="24"/>
        </w:rPr>
        <w:t xml:space="preserve"> zapytania kierowane na adres poczty elektronicznej: info@parp.gov.pl oraz telefonicznie: (22) 432 89 91-93.  </w:t>
      </w:r>
    </w:p>
    <w:p w14:paraId="0BF592E8" w14:textId="77777777" w:rsidR="00544952" w:rsidRPr="00CC7265" w:rsidRDefault="00544952" w:rsidP="000E2991">
      <w:pPr>
        <w:pStyle w:val="Default"/>
        <w:spacing w:before="120" w:after="120" w:line="271" w:lineRule="auto"/>
        <w:jc w:val="center"/>
        <w:rPr>
          <w:bCs/>
          <w:color w:val="auto"/>
        </w:rPr>
      </w:pPr>
    </w:p>
    <w:p w14:paraId="671181E8" w14:textId="5673F1A6" w:rsidR="00544952" w:rsidRPr="00CC7265" w:rsidRDefault="00544952" w:rsidP="00544952">
      <w:pPr>
        <w:pStyle w:val="Default"/>
        <w:spacing w:before="120" w:after="120" w:line="271" w:lineRule="auto"/>
        <w:jc w:val="center"/>
        <w:rPr>
          <w:b/>
          <w:bCs/>
          <w:color w:val="auto"/>
        </w:rPr>
      </w:pPr>
      <w:r w:rsidRPr="00CC7265">
        <w:rPr>
          <w:b/>
          <w:bCs/>
          <w:color w:val="auto"/>
        </w:rPr>
        <w:t xml:space="preserve">§ </w:t>
      </w:r>
      <w:r w:rsidR="00FD362C">
        <w:rPr>
          <w:b/>
          <w:bCs/>
          <w:color w:val="auto"/>
        </w:rPr>
        <w:t>1</w:t>
      </w:r>
      <w:r w:rsidR="00443DFA">
        <w:rPr>
          <w:b/>
          <w:bCs/>
          <w:color w:val="auto"/>
        </w:rPr>
        <w:t>3</w:t>
      </w:r>
      <w:r w:rsidRPr="00CC7265">
        <w:rPr>
          <w:b/>
          <w:bCs/>
          <w:color w:val="auto"/>
        </w:rPr>
        <w:t>.</w:t>
      </w:r>
    </w:p>
    <w:p w14:paraId="25B180E4" w14:textId="77777777" w:rsidR="00B47007" w:rsidRPr="00CC7265" w:rsidRDefault="00B47007" w:rsidP="000E2991">
      <w:pPr>
        <w:pStyle w:val="Default"/>
        <w:spacing w:before="120" w:after="120" w:line="271" w:lineRule="auto"/>
        <w:jc w:val="center"/>
        <w:rPr>
          <w:color w:val="auto"/>
        </w:rPr>
      </w:pPr>
      <w:r w:rsidRPr="00CC7265">
        <w:rPr>
          <w:b/>
          <w:bCs/>
          <w:color w:val="auto"/>
        </w:rPr>
        <w:t>Postanowienia końcowe</w:t>
      </w:r>
    </w:p>
    <w:p w14:paraId="25AA7BFA" w14:textId="2EB338A6" w:rsidR="004F78EE" w:rsidRPr="00CC7265" w:rsidRDefault="001236C4" w:rsidP="00223CAE">
      <w:pPr>
        <w:pStyle w:val="Default"/>
        <w:numPr>
          <w:ilvl w:val="0"/>
          <w:numId w:val="7"/>
        </w:numPr>
        <w:spacing w:before="120" w:after="120" w:line="271" w:lineRule="auto"/>
        <w:ind w:left="426" w:hanging="426"/>
        <w:jc w:val="both"/>
        <w:rPr>
          <w:color w:val="auto"/>
        </w:rPr>
      </w:pPr>
      <w:r>
        <w:rPr>
          <w:color w:val="auto"/>
        </w:rPr>
        <w:t>PARP</w:t>
      </w:r>
      <w:r w:rsidR="00DC15CC">
        <w:rPr>
          <w:color w:val="auto"/>
        </w:rPr>
        <w:t xml:space="preserve"> </w:t>
      </w:r>
      <w:r w:rsidR="004F78EE" w:rsidRPr="0023620C">
        <w:rPr>
          <w:color w:val="auto"/>
        </w:rPr>
        <w:t>z</w:t>
      </w:r>
      <w:r w:rsidR="004F78EE" w:rsidRPr="00CC7265">
        <w:rPr>
          <w:color w:val="auto"/>
        </w:rPr>
        <w:t xml:space="preserve">astrzega sobie możliwość zmiany </w:t>
      </w:r>
      <w:r w:rsidR="00B674BB">
        <w:rPr>
          <w:color w:val="auto"/>
        </w:rPr>
        <w:t>R</w:t>
      </w:r>
      <w:r w:rsidR="004F78EE" w:rsidRPr="00CC7265">
        <w:rPr>
          <w:color w:val="auto"/>
        </w:rPr>
        <w:t>egulaminu</w:t>
      </w:r>
      <w:r w:rsidR="00B674BB">
        <w:rPr>
          <w:color w:val="auto"/>
        </w:rPr>
        <w:t xml:space="preserve"> </w:t>
      </w:r>
      <w:r w:rsidR="00527255">
        <w:rPr>
          <w:color w:val="auto"/>
        </w:rPr>
        <w:t>nabor</w:t>
      </w:r>
      <w:r w:rsidR="00B674BB">
        <w:rPr>
          <w:color w:val="auto"/>
        </w:rPr>
        <w:t>u</w:t>
      </w:r>
      <w:r w:rsidR="004F78EE" w:rsidRPr="00CC7265">
        <w:rPr>
          <w:color w:val="auto"/>
        </w:rPr>
        <w:t>.</w:t>
      </w:r>
    </w:p>
    <w:p w14:paraId="1862F4CC" w14:textId="1A420678" w:rsidR="00B47007" w:rsidRPr="00CC7265" w:rsidRDefault="00B47007" w:rsidP="00223CAE">
      <w:pPr>
        <w:pStyle w:val="Default"/>
        <w:numPr>
          <w:ilvl w:val="0"/>
          <w:numId w:val="7"/>
        </w:numPr>
        <w:spacing w:before="120" w:after="120" w:line="271" w:lineRule="auto"/>
        <w:ind w:left="426" w:hanging="426"/>
        <w:jc w:val="both"/>
        <w:rPr>
          <w:color w:val="auto"/>
        </w:rPr>
      </w:pPr>
      <w:r w:rsidRPr="00CC7265">
        <w:rPr>
          <w:color w:val="auto"/>
        </w:rPr>
        <w:t>W przypadku zaistnienia konieczności wprowadzenia zmian w Regulaminie</w:t>
      </w:r>
      <w:r w:rsidR="00C26922" w:rsidRPr="00C26922">
        <w:rPr>
          <w:color w:val="auto"/>
        </w:rPr>
        <w:t xml:space="preserve"> </w:t>
      </w:r>
      <w:r w:rsidR="00C26922">
        <w:rPr>
          <w:color w:val="auto"/>
        </w:rPr>
        <w:t>naboru</w:t>
      </w:r>
      <w:r w:rsidRPr="00CC7265">
        <w:rPr>
          <w:color w:val="auto"/>
        </w:rPr>
        <w:t xml:space="preserve">, </w:t>
      </w:r>
      <w:r w:rsidR="001236C4">
        <w:rPr>
          <w:color w:val="auto"/>
        </w:rPr>
        <w:t>PARP</w:t>
      </w:r>
      <w:r w:rsidR="00EE1F16">
        <w:rPr>
          <w:color w:val="auto"/>
        </w:rPr>
        <w:t xml:space="preserve"> </w:t>
      </w:r>
      <w:r w:rsidRPr="00CC7265">
        <w:rPr>
          <w:color w:val="auto"/>
        </w:rPr>
        <w:t xml:space="preserve">zamieszcza na stronie internetowej </w:t>
      </w:r>
      <w:r w:rsidR="001236C4">
        <w:rPr>
          <w:color w:val="auto"/>
        </w:rPr>
        <w:t>PARP</w:t>
      </w:r>
      <w:r w:rsidRPr="00CC7265">
        <w:rPr>
          <w:color w:val="auto"/>
        </w:rPr>
        <w:t xml:space="preserve"> informację o jego zmianie, aktualną treść Regulaminu</w:t>
      </w:r>
      <w:r w:rsidR="00C26922" w:rsidRPr="00C26922">
        <w:rPr>
          <w:color w:val="auto"/>
        </w:rPr>
        <w:t xml:space="preserve"> </w:t>
      </w:r>
      <w:r w:rsidR="00C26922">
        <w:rPr>
          <w:color w:val="auto"/>
        </w:rPr>
        <w:t>naboru</w:t>
      </w:r>
      <w:r w:rsidRPr="00CC7265">
        <w:rPr>
          <w:color w:val="auto"/>
        </w:rPr>
        <w:t xml:space="preserve">, uzasadnienie zmiany oraz termin, od którego stosuje się zmianę. </w:t>
      </w:r>
      <w:r w:rsidR="00666DE0">
        <w:rPr>
          <w:color w:val="auto"/>
        </w:rPr>
        <w:t>PARP</w:t>
      </w:r>
      <w:r w:rsidR="00666DE0" w:rsidRPr="00CC7265">
        <w:rPr>
          <w:color w:val="auto"/>
        </w:rPr>
        <w:t xml:space="preserve"> </w:t>
      </w:r>
      <w:r w:rsidRPr="00CC7265">
        <w:rPr>
          <w:color w:val="auto"/>
        </w:rPr>
        <w:t>udostępnia na swojej stronie internetowej poprzednie wersje Regulaminu</w:t>
      </w:r>
      <w:r w:rsidR="00C26922" w:rsidRPr="00C26922">
        <w:rPr>
          <w:color w:val="auto"/>
        </w:rPr>
        <w:t xml:space="preserve"> </w:t>
      </w:r>
      <w:r w:rsidR="00C26922">
        <w:rPr>
          <w:color w:val="auto"/>
        </w:rPr>
        <w:t>naboru</w:t>
      </w:r>
      <w:r w:rsidRPr="00CC7265">
        <w:rPr>
          <w:color w:val="auto"/>
        </w:rPr>
        <w:t>.</w:t>
      </w:r>
      <w:r w:rsidR="00367F4B" w:rsidRPr="00367F4B">
        <w:rPr>
          <w:rFonts w:eastAsia="Calibri"/>
        </w:rPr>
        <w:t xml:space="preserve"> </w:t>
      </w:r>
      <w:r w:rsidR="00367F4B">
        <w:rPr>
          <w:rFonts w:eastAsia="Calibri"/>
        </w:rPr>
        <w:t>PARP niezwłocznie informuj</w:t>
      </w:r>
      <w:r w:rsidR="00C236C6">
        <w:rPr>
          <w:rFonts w:eastAsia="Calibri"/>
        </w:rPr>
        <w:t xml:space="preserve">e o zmianie </w:t>
      </w:r>
      <w:r w:rsidR="00533F4A">
        <w:rPr>
          <w:rFonts w:eastAsia="Calibri"/>
        </w:rPr>
        <w:t>R</w:t>
      </w:r>
      <w:r w:rsidR="00C236C6">
        <w:rPr>
          <w:rFonts w:eastAsia="Calibri"/>
        </w:rPr>
        <w:t xml:space="preserve">egulaminu </w:t>
      </w:r>
      <w:r w:rsidR="00533F4A">
        <w:rPr>
          <w:rFonts w:eastAsia="Calibri"/>
        </w:rPr>
        <w:t xml:space="preserve">naboru </w:t>
      </w:r>
      <w:r w:rsidR="00C236C6">
        <w:rPr>
          <w:rFonts w:eastAsia="Calibri"/>
        </w:rPr>
        <w:t>każdego w</w:t>
      </w:r>
      <w:r w:rsidR="00367F4B">
        <w:rPr>
          <w:rFonts w:eastAsia="Calibri"/>
        </w:rPr>
        <w:t>nioskodawcę.</w:t>
      </w:r>
      <w:r w:rsidRPr="00CC7265">
        <w:rPr>
          <w:color w:val="auto"/>
        </w:rPr>
        <w:t xml:space="preserve"> </w:t>
      </w:r>
    </w:p>
    <w:p w14:paraId="2755FAD2" w14:textId="2FEB0DCC" w:rsidR="00B47007" w:rsidRPr="00CC7265" w:rsidRDefault="001236C4" w:rsidP="00223CAE">
      <w:pPr>
        <w:pStyle w:val="Default"/>
        <w:numPr>
          <w:ilvl w:val="0"/>
          <w:numId w:val="7"/>
        </w:numPr>
        <w:spacing w:before="120" w:after="120" w:line="271" w:lineRule="auto"/>
        <w:ind w:left="426" w:hanging="426"/>
        <w:jc w:val="both"/>
        <w:rPr>
          <w:color w:val="auto"/>
        </w:rPr>
      </w:pPr>
      <w:r>
        <w:rPr>
          <w:color w:val="auto"/>
        </w:rPr>
        <w:t>PARP</w:t>
      </w:r>
      <w:r w:rsidR="00EE1F16">
        <w:rPr>
          <w:color w:val="auto"/>
        </w:rPr>
        <w:t xml:space="preserve"> </w:t>
      </w:r>
      <w:r w:rsidR="00B47007" w:rsidRPr="00CC7265">
        <w:rPr>
          <w:color w:val="auto"/>
        </w:rPr>
        <w:t>zastrzega sobie możliwość anulowania naboru, w szczególności w przypadku wprowadzenia istotnych zmian w przepisach prawa mających wpływ na warunki przeprowadzenia naboru lub zdarzeń o charakterze siły wyższej. W takim przypadku</w:t>
      </w:r>
      <w:r w:rsidR="005942AE" w:rsidRPr="00CC7265">
        <w:rPr>
          <w:color w:val="auto"/>
        </w:rPr>
        <w:t>,</w:t>
      </w:r>
      <w:r w:rsidR="00B47007" w:rsidRPr="00CC7265">
        <w:rPr>
          <w:color w:val="auto"/>
        </w:rPr>
        <w:t xml:space="preserve"> </w:t>
      </w:r>
      <w:r w:rsidR="00C37E2F">
        <w:rPr>
          <w:color w:val="auto"/>
        </w:rPr>
        <w:t>wnioskodawcy</w:t>
      </w:r>
      <w:r w:rsidR="00C37E2F" w:rsidRPr="00CC7265">
        <w:rPr>
          <w:color w:val="auto"/>
        </w:rPr>
        <w:t xml:space="preserve"> </w:t>
      </w:r>
      <w:r w:rsidR="00B47007" w:rsidRPr="00CC7265">
        <w:rPr>
          <w:color w:val="auto"/>
        </w:rPr>
        <w:t xml:space="preserve">nie przysługuje możliwość wystąpienia z roszczeniem o odszkodowanie. </w:t>
      </w:r>
    </w:p>
    <w:p w14:paraId="2884136C" w14:textId="77777777" w:rsidR="005942AE" w:rsidRPr="00CC7265" w:rsidRDefault="005942AE" w:rsidP="000E2991">
      <w:pPr>
        <w:pStyle w:val="Default"/>
        <w:spacing w:before="120" w:after="120" w:line="271" w:lineRule="auto"/>
        <w:jc w:val="both"/>
        <w:rPr>
          <w:color w:val="auto"/>
        </w:rPr>
      </w:pPr>
    </w:p>
    <w:p w14:paraId="6DE9D47F" w14:textId="77777777" w:rsidR="005942AE" w:rsidRPr="00CC7265" w:rsidRDefault="005942AE" w:rsidP="000E2991">
      <w:pPr>
        <w:pStyle w:val="Default"/>
        <w:spacing w:before="120" w:after="120" w:line="271" w:lineRule="auto"/>
        <w:jc w:val="both"/>
        <w:rPr>
          <w:color w:val="auto"/>
        </w:rPr>
      </w:pPr>
    </w:p>
    <w:p w14:paraId="51CE4E6B" w14:textId="77777777" w:rsidR="00F32FF8" w:rsidRDefault="00F32FF8" w:rsidP="000E2991">
      <w:pPr>
        <w:pStyle w:val="Default"/>
        <w:spacing w:before="120" w:after="120" w:line="271" w:lineRule="auto"/>
        <w:jc w:val="both"/>
        <w:rPr>
          <w:b/>
          <w:color w:val="auto"/>
        </w:rPr>
      </w:pPr>
    </w:p>
    <w:p w14:paraId="27D50595" w14:textId="77777777" w:rsidR="00EE4F1B" w:rsidRDefault="00EE4F1B" w:rsidP="000E2991">
      <w:pPr>
        <w:pStyle w:val="Default"/>
        <w:spacing w:before="120" w:after="120" w:line="271" w:lineRule="auto"/>
        <w:jc w:val="both"/>
        <w:rPr>
          <w:b/>
          <w:color w:val="auto"/>
        </w:rPr>
      </w:pPr>
    </w:p>
    <w:p w14:paraId="3E8A0A2B" w14:textId="77777777" w:rsidR="00B47007" w:rsidRPr="00CC7265" w:rsidRDefault="00B47007" w:rsidP="000E2991">
      <w:pPr>
        <w:pStyle w:val="Default"/>
        <w:spacing w:before="120" w:after="120" w:line="271" w:lineRule="auto"/>
        <w:jc w:val="both"/>
        <w:rPr>
          <w:b/>
          <w:color w:val="auto"/>
        </w:rPr>
      </w:pPr>
      <w:r w:rsidRPr="00CC7265">
        <w:rPr>
          <w:b/>
          <w:color w:val="auto"/>
        </w:rPr>
        <w:t xml:space="preserve">Załączniki: </w:t>
      </w:r>
    </w:p>
    <w:p w14:paraId="50B4DB2D" w14:textId="77777777" w:rsidR="00B47007" w:rsidRPr="00CC7265" w:rsidRDefault="00B47007" w:rsidP="000E2991">
      <w:pPr>
        <w:pStyle w:val="Default"/>
        <w:spacing w:before="120" w:after="120" w:line="271" w:lineRule="auto"/>
        <w:jc w:val="both"/>
        <w:rPr>
          <w:color w:val="auto"/>
        </w:rPr>
      </w:pPr>
      <w:r w:rsidRPr="00CC7265">
        <w:rPr>
          <w:color w:val="auto"/>
        </w:rPr>
        <w:t>Załącznik nr 1: Opis założeń pilotażu</w:t>
      </w:r>
      <w:r w:rsidR="00C601FE">
        <w:rPr>
          <w:color w:val="auto"/>
        </w:rPr>
        <w:t>.</w:t>
      </w:r>
      <w:r w:rsidRPr="00CC7265">
        <w:rPr>
          <w:color w:val="auto"/>
        </w:rPr>
        <w:t xml:space="preserve"> </w:t>
      </w:r>
      <w:r w:rsidR="004D4892">
        <w:rPr>
          <w:color w:val="auto"/>
        </w:rPr>
        <w:t xml:space="preserve"> </w:t>
      </w:r>
      <w:r w:rsidRPr="00CC7265">
        <w:rPr>
          <w:color w:val="auto"/>
        </w:rPr>
        <w:t xml:space="preserve"> </w:t>
      </w:r>
    </w:p>
    <w:p w14:paraId="45493918" w14:textId="77777777" w:rsidR="00ED382B" w:rsidRPr="00CC7265" w:rsidRDefault="00C601FE" w:rsidP="00C601FE">
      <w:pPr>
        <w:pStyle w:val="Default"/>
        <w:spacing w:before="120" w:after="120" w:line="271" w:lineRule="auto"/>
        <w:jc w:val="both"/>
        <w:rPr>
          <w:color w:val="auto"/>
        </w:rPr>
      </w:pPr>
      <w:r w:rsidRPr="00CC7265">
        <w:rPr>
          <w:color w:val="auto"/>
        </w:rPr>
        <w:t xml:space="preserve">Załącznik nr </w:t>
      </w:r>
      <w:r>
        <w:rPr>
          <w:color w:val="auto"/>
        </w:rPr>
        <w:t>2</w:t>
      </w:r>
      <w:r w:rsidRPr="00CC7265">
        <w:rPr>
          <w:color w:val="auto"/>
        </w:rPr>
        <w:t xml:space="preserve">: Wzór wniosku </w:t>
      </w:r>
      <w:r>
        <w:rPr>
          <w:color w:val="auto"/>
        </w:rPr>
        <w:t>o powierzenie grantu</w:t>
      </w:r>
      <w:r w:rsidRPr="00CC7265">
        <w:rPr>
          <w:color w:val="auto"/>
        </w:rPr>
        <w:t xml:space="preserve">. </w:t>
      </w:r>
    </w:p>
    <w:p w14:paraId="25202F34" w14:textId="77777777" w:rsidR="00B47007" w:rsidRPr="00CC7265" w:rsidRDefault="00B47007" w:rsidP="000E2991">
      <w:pPr>
        <w:pStyle w:val="Default"/>
        <w:spacing w:before="120" w:after="120" w:line="271" w:lineRule="auto"/>
        <w:jc w:val="both"/>
        <w:rPr>
          <w:color w:val="auto"/>
        </w:rPr>
      </w:pPr>
      <w:r w:rsidRPr="00CC7265">
        <w:rPr>
          <w:color w:val="auto"/>
        </w:rPr>
        <w:t xml:space="preserve">Załącznik nr </w:t>
      </w:r>
      <w:r w:rsidR="00C601FE">
        <w:rPr>
          <w:color w:val="auto"/>
        </w:rPr>
        <w:t>3</w:t>
      </w:r>
      <w:r w:rsidRPr="00CC7265">
        <w:rPr>
          <w:color w:val="auto"/>
        </w:rPr>
        <w:t>: Kryteria wyboru projektów w ramach pilotażu</w:t>
      </w:r>
      <w:r w:rsidR="00C601FE">
        <w:rPr>
          <w:color w:val="auto"/>
        </w:rPr>
        <w:t>.</w:t>
      </w:r>
      <w:r w:rsidRPr="00CC7265">
        <w:rPr>
          <w:color w:val="auto"/>
        </w:rPr>
        <w:t xml:space="preserve"> </w:t>
      </w:r>
      <w:r w:rsidR="004D4892">
        <w:rPr>
          <w:color w:val="auto"/>
        </w:rPr>
        <w:t xml:space="preserve"> </w:t>
      </w:r>
    </w:p>
    <w:p w14:paraId="5EBF9D6E" w14:textId="77777777" w:rsidR="00C601FE" w:rsidRPr="00CC7265" w:rsidRDefault="00C601FE" w:rsidP="00C601FE">
      <w:pPr>
        <w:pStyle w:val="Default"/>
        <w:spacing w:before="120" w:after="120" w:line="271" w:lineRule="auto"/>
        <w:jc w:val="both"/>
        <w:rPr>
          <w:color w:val="auto"/>
        </w:rPr>
      </w:pPr>
      <w:r>
        <w:rPr>
          <w:color w:val="auto"/>
        </w:rPr>
        <w:t xml:space="preserve">Załącznik nr 4: </w:t>
      </w:r>
      <w:r w:rsidRPr="0023620C">
        <w:rPr>
          <w:rFonts w:cstheme="minorHAnsi"/>
        </w:rPr>
        <w:t>Metodologia obliczania kosztów uproszczonych</w:t>
      </w:r>
      <w:r>
        <w:rPr>
          <w:rFonts w:cstheme="minorHAnsi"/>
        </w:rPr>
        <w:t>.</w:t>
      </w:r>
    </w:p>
    <w:p w14:paraId="78075FFF" w14:textId="3E4B0902" w:rsidR="00F42F9D" w:rsidRDefault="00F42F9D" w:rsidP="000E2991">
      <w:pPr>
        <w:pStyle w:val="Default"/>
        <w:spacing w:before="120" w:after="120" w:line="271" w:lineRule="auto"/>
        <w:jc w:val="both"/>
        <w:rPr>
          <w:color w:val="auto"/>
        </w:rPr>
      </w:pPr>
      <w:r w:rsidRPr="00CC7265">
        <w:rPr>
          <w:color w:val="auto"/>
        </w:rPr>
        <w:t xml:space="preserve">Załącznik nr </w:t>
      </w:r>
      <w:r w:rsidR="00C601FE">
        <w:rPr>
          <w:color w:val="auto"/>
        </w:rPr>
        <w:t>5</w:t>
      </w:r>
      <w:r w:rsidRPr="00CC7265">
        <w:rPr>
          <w:color w:val="auto"/>
        </w:rPr>
        <w:t xml:space="preserve">: </w:t>
      </w:r>
      <w:r w:rsidR="00ED382B" w:rsidRPr="00ED382B">
        <w:t xml:space="preserve"> </w:t>
      </w:r>
      <w:r w:rsidR="00ED382B">
        <w:t>Instrukcj</w:t>
      </w:r>
      <w:r w:rsidR="009006D9">
        <w:t>a</w:t>
      </w:r>
      <w:r w:rsidR="00ED382B">
        <w:t xml:space="preserve"> wypełniania wniosku</w:t>
      </w:r>
      <w:r w:rsidR="00187010" w:rsidRPr="00187010">
        <w:t xml:space="preserve"> </w:t>
      </w:r>
      <w:r w:rsidR="00187010" w:rsidRPr="00CC7265">
        <w:t xml:space="preserve">o </w:t>
      </w:r>
      <w:r w:rsidR="00187010">
        <w:t>powierzenie grantu</w:t>
      </w:r>
      <w:r w:rsidR="00ED382B">
        <w:t>.</w:t>
      </w:r>
    </w:p>
    <w:p w14:paraId="4DFAAE13" w14:textId="77777777" w:rsidR="00ED382B" w:rsidRPr="00CC7265" w:rsidRDefault="00ED382B" w:rsidP="000E2991">
      <w:pPr>
        <w:pStyle w:val="Default"/>
        <w:spacing w:before="120" w:after="120" w:line="271" w:lineRule="auto"/>
        <w:jc w:val="both"/>
        <w:rPr>
          <w:color w:val="auto"/>
        </w:rPr>
      </w:pPr>
      <w:r>
        <w:rPr>
          <w:color w:val="auto"/>
        </w:rPr>
        <w:t xml:space="preserve">Załącznik nr 6: </w:t>
      </w:r>
      <w:r w:rsidRPr="00CC7265">
        <w:rPr>
          <w:color w:val="auto"/>
        </w:rPr>
        <w:t xml:space="preserve">Wzór oświadczenia o złożeniu wniosku </w:t>
      </w:r>
      <w:r>
        <w:rPr>
          <w:color w:val="auto"/>
        </w:rPr>
        <w:t>o powierzenie grantu</w:t>
      </w:r>
      <w:r w:rsidRPr="00CC7265">
        <w:rPr>
          <w:color w:val="auto"/>
        </w:rPr>
        <w:t>.</w:t>
      </w:r>
    </w:p>
    <w:p w14:paraId="24F4F33C" w14:textId="77777777" w:rsidR="003A5236" w:rsidRPr="00CC7265" w:rsidRDefault="00ED382B" w:rsidP="003A5236">
      <w:pPr>
        <w:pStyle w:val="Default"/>
        <w:spacing w:before="120" w:after="120" w:line="271" w:lineRule="auto"/>
        <w:jc w:val="both"/>
        <w:rPr>
          <w:color w:val="auto"/>
        </w:rPr>
      </w:pPr>
      <w:r w:rsidRPr="00CC7265">
        <w:rPr>
          <w:color w:val="auto"/>
        </w:rPr>
        <w:t xml:space="preserve">Załącznik nr 7: </w:t>
      </w:r>
      <w:r w:rsidR="003A5236" w:rsidRPr="00CC7265">
        <w:rPr>
          <w:color w:val="auto"/>
        </w:rPr>
        <w:t xml:space="preserve">Wzór umowy o powierzenie grantu. </w:t>
      </w:r>
    </w:p>
    <w:p w14:paraId="64240096" w14:textId="77777777" w:rsidR="00D76A8A" w:rsidRDefault="00ED382B" w:rsidP="000E2991">
      <w:pPr>
        <w:pStyle w:val="Default"/>
        <w:spacing w:before="120" w:after="120" w:line="271" w:lineRule="auto"/>
        <w:jc w:val="both"/>
        <w:rPr>
          <w:color w:val="auto"/>
        </w:rPr>
      </w:pPr>
      <w:r w:rsidRPr="00CC7265">
        <w:rPr>
          <w:color w:val="auto"/>
        </w:rPr>
        <w:t xml:space="preserve">Załącznik nr </w:t>
      </w:r>
      <w:r>
        <w:rPr>
          <w:color w:val="auto"/>
        </w:rPr>
        <w:t>8</w:t>
      </w:r>
      <w:r w:rsidRPr="00CC7265">
        <w:rPr>
          <w:color w:val="auto"/>
        </w:rPr>
        <w:t xml:space="preserve">: </w:t>
      </w:r>
      <w:r w:rsidR="003067AE">
        <w:rPr>
          <w:color w:val="auto"/>
        </w:rPr>
        <w:t>Lista dokumentów niezbędnych do zawarcia umowy o powierzenie grantu.</w:t>
      </w:r>
    </w:p>
    <w:p w14:paraId="543778BF" w14:textId="77777777" w:rsidR="00C601FE" w:rsidRDefault="00ED382B" w:rsidP="000E2991">
      <w:pPr>
        <w:pStyle w:val="Default"/>
        <w:spacing w:before="120" w:after="120" w:line="271" w:lineRule="auto"/>
        <w:jc w:val="both"/>
        <w:rPr>
          <w:color w:val="auto"/>
        </w:rPr>
      </w:pPr>
      <w:r>
        <w:rPr>
          <w:color w:val="auto"/>
        </w:rPr>
        <w:t xml:space="preserve">Załącznik nr 9: </w:t>
      </w:r>
      <w:r w:rsidR="00C601FE" w:rsidRPr="00CC7265">
        <w:rPr>
          <w:color w:val="auto"/>
        </w:rPr>
        <w:t>Wzór wniosku o płatność końcową.</w:t>
      </w:r>
      <w:r w:rsidR="00C601FE">
        <w:rPr>
          <w:color w:val="auto"/>
        </w:rPr>
        <w:t xml:space="preserve"> </w:t>
      </w:r>
    </w:p>
    <w:p w14:paraId="6F2013B2" w14:textId="77777777" w:rsidR="0023620C" w:rsidRPr="00CC7265" w:rsidRDefault="00ED382B" w:rsidP="000E2991">
      <w:pPr>
        <w:pStyle w:val="Default"/>
        <w:spacing w:before="120" w:after="120" w:line="271" w:lineRule="auto"/>
        <w:jc w:val="both"/>
        <w:rPr>
          <w:color w:val="auto"/>
        </w:rPr>
      </w:pPr>
      <w:r>
        <w:rPr>
          <w:color w:val="auto"/>
        </w:rPr>
        <w:t xml:space="preserve">Załącznik nr 10: </w:t>
      </w:r>
      <w:r w:rsidR="000171FA">
        <w:rPr>
          <w:color w:val="auto"/>
        </w:rPr>
        <w:t>Wykaz Krajowych Inteligentnych Specjalizacji</w:t>
      </w:r>
      <w:r w:rsidR="0023620C">
        <w:rPr>
          <w:color w:val="auto"/>
        </w:rPr>
        <w:t>.</w:t>
      </w:r>
    </w:p>
    <w:sectPr w:rsidR="0023620C" w:rsidRPr="00CC7265" w:rsidSect="003F3BE8">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B0C54" w14:textId="77777777" w:rsidR="00424588" w:rsidRDefault="00424588" w:rsidP="000573E7">
      <w:pPr>
        <w:spacing w:after="0" w:line="240" w:lineRule="auto"/>
      </w:pPr>
      <w:r>
        <w:separator/>
      </w:r>
    </w:p>
  </w:endnote>
  <w:endnote w:type="continuationSeparator" w:id="0">
    <w:p w14:paraId="0A6E2717" w14:textId="77777777" w:rsidR="00424588" w:rsidRDefault="00424588" w:rsidP="000573E7">
      <w:pPr>
        <w:spacing w:after="0" w:line="240" w:lineRule="auto"/>
      </w:pPr>
      <w:r>
        <w:continuationSeparator/>
      </w:r>
    </w:p>
  </w:endnote>
  <w:endnote w:type="continuationNotice" w:id="1">
    <w:p w14:paraId="741A32AA" w14:textId="77777777" w:rsidR="00424588" w:rsidRDefault="00424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432"/>
      <w:docPartObj>
        <w:docPartGallery w:val="Page Numbers (Bottom of Page)"/>
        <w:docPartUnique/>
      </w:docPartObj>
    </w:sdtPr>
    <w:sdtEndPr/>
    <w:sdtContent>
      <w:p w14:paraId="058EC6D9" w14:textId="77777777" w:rsidR="00424588" w:rsidRDefault="00424588">
        <w:pPr>
          <w:pStyle w:val="Stopka"/>
          <w:jc w:val="right"/>
        </w:pPr>
        <w:r>
          <w:rPr>
            <w:lang w:val="en-GB"/>
          </w:rPr>
          <w:fldChar w:fldCharType="begin"/>
        </w:r>
        <w:r>
          <w:instrText>PAGE   \* MERGEFORMAT</w:instrText>
        </w:r>
        <w:r>
          <w:rPr>
            <w:lang w:val="en-GB"/>
          </w:rPr>
          <w:fldChar w:fldCharType="separate"/>
        </w:r>
        <w:r w:rsidR="003F3BE8">
          <w:rPr>
            <w:noProof/>
          </w:rPr>
          <w:t>5</w:t>
        </w:r>
        <w:r>
          <w:rPr>
            <w:noProof/>
          </w:rPr>
          <w:fldChar w:fldCharType="end"/>
        </w:r>
      </w:p>
    </w:sdtContent>
  </w:sdt>
  <w:p w14:paraId="516F1692" w14:textId="77777777" w:rsidR="00424588" w:rsidRDefault="004245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0D0F2" w14:textId="77777777" w:rsidR="00424588" w:rsidRDefault="00424588" w:rsidP="000573E7">
      <w:pPr>
        <w:spacing w:after="0" w:line="240" w:lineRule="auto"/>
      </w:pPr>
      <w:r>
        <w:separator/>
      </w:r>
    </w:p>
  </w:footnote>
  <w:footnote w:type="continuationSeparator" w:id="0">
    <w:p w14:paraId="152E05B8" w14:textId="77777777" w:rsidR="00424588" w:rsidRDefault="00424588" w:rsidP="000573E7">
      <w:pPr>
        <w:spacing w:after="0" w:line="240" w:lineRule="auto"/>
      </w:pPr>
      <w:r>
        <w:continuationSeparator/>
      </w:r>
    </w:p>
  </w:footnote>
  <w:footnote w:type="continuationNotice" w:id="1">
    <w:p w14:paraId="47D7C322" w14:textId="77777777" w:rsidR="00424588" w:rsidRDefault="004245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F6A3" w14:textId="039B1FE5" w:rsidR="0082180E" w:rsidRDefault="003F3BE8">
    <w:pPr>
      <w:pStyle w:val="Nagwek"/>
    </w:pPr>
    <w:r w:rsidRPr="003F3BE8">
      <w:drawing>
        <wp:inline distT="0" distB="0" distL="0" distR="0" wp14:anchorId="4F68DED7" wp14:editId="1E7A37EA">
          <wp:extent cx="5760720" cy="627192"/>
          <wp:effectExtent l="0" t="0" r="0" b="1905"/>
          <wp:docPr id="1" name="Obraz 1" descr="http://intranet/SiteCollectionImages/Ksiega-Znaku-PARP-Grupa-PFR/Pasek-z-logami/P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iteCollectionImages/Ksiega-Znaku-PARP-Grupa-PFR/Pasek-z-logami/P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71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0984"/>
    <w:multiLevelType w:val="multilevel"/>
    <w:tmpl w:val="9FD661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487488"/>
    <w:multiLevelType w:val="hybridMultilevel"/>
    <w:tmpl w:val="B094A286"/>
    <w:lvl w:ilvl="0" w:tplc="9F04D8EA">
      <w:start w:val="1"/>
      <w:numFmt w:val="decimal"/>
      <w:lvlText w:val="%1."/>
      <w:lvlJc w:val="left"/>
      <w:pPr>
        <w:ind w:left="502" w:hanging="360"/>
      </w:pPr>
      <w:rPr>
        <w:rFonts w:ascii="Times New Roman" w:eastAsia="Times New Roman" w:hAnsi="Times New Roman" w:cs="Times New Roman"/>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9C61B56"/>
    <w:multiLevelType w:val="hybridMultilevel"/>
    <w:tmpl w:val="612400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460BC"/>
    <w:multiLevelType w:val="hybridMultilevel"/>
    <w:tmpl w:val="1AA44996"/>
    <w:lvl w:ilvl="0" w:tplc="B21EC6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A4864"/>
    <w:multiLevelType w:val="hybridMultilevel"/>
    <w:tmpl w:val="DDCC5E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C86263"/>
    <w:multiLevelType w:val="hybridMultilevel"/>
    <w:tmpl w:val="838E813E"/>
    <w:lvl w:ilvl="0" w:tplc="AE6A98AC">
      <w:start w:val="1"/>
      <w:numFmt w:val="decimal"/>
      <w:lvlText w:val="%1."/>
      <w:lvlJc w:val="left"/>
      <w:pPr>
        <w:tabs>
          <w:tab w:val="num" w:pos="568"/>
        </w:tabs>
        <w:ind w:left="568" w:hanging="284"/>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451F69"/>
    <w:multiLevelType w:val="hybridMultilevel"/>
    <w:tmpl w:val="C7E41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46B31"/>
    <w:multiLevelType w:val="hybridMultilevel"/>
    <w:tmpl w:val="96B2C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50766"/>
    <w:multiLevelType w:val="hybridMultilevel"/>
    <w:tmpl w:val="9D78A77E"/>
    <w:lvl w:ilvl="0" w:tplc="0D1417C8">
      <w:start w:val="1"/>
      <w:numFmt w:val="decimal"/>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9" w15:restartNumberingAfterBreak="0">
    <w:nsid w:val="1C397E84"/>
    <w:multiLevelType w:val="hybridMultilevel"/>
    <w:tmpl w:val="84727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A59F1"/>
    <w:multiLevelType w:val="hybridMultilevel"/>
    <w:tmpl w:val="9932A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A742CA"/>
    <w:multiLevelType w:val="hybridMultilevel"/>
    <w:tmpl w:val="E36ADA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B1841"/>
    <w:multiLevelType w:val="hybridMultilevel"/>
    <w:tmpl w:val="53206836"/>
    <w:lvl w:ilvl="0" w:tplc="0415000F">
      <w:start w:val="1"/>
      <w:numFmt w:val="decimal"/>
      <w:lvlText w:val="%1."/>
      <w:lvlJc w:val="left"/>
      <w:pPr>
        <w:ind w:left="3054" w:hanging="360"/>
      </w:pPr>
      <w:rPr>
        <w:rFonts w:hint="default"/>
      </w:rPr>
    </w:lvl>
    <w:lvl w:ilvl="1" w:tplc="3F1C67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014C7"/>
    <w:multiLevelType w:val="hybridMultilevel"/>
    <w:tmpl w:val="4C10733E"/>
    <w:lvl w:ilvl="0" w:tplc="8F90F9B6">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0C0C61"/>
    <w:multiLevelType w:val="hybridMultilevel"/>
    <w:tmpl w:val="7EAC2450"/>
    <w:lvl w:ilvl="0" w:tplc="7CD444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069B6"/>
    <w:multiLevelType w:val="hybridMultilevel"/>
    <w:tmpl w:val="F1863C2A"/>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9C35371"/>
    <w:multiLevelType w:val="hybridMultilevel"/>
    <w:tmpl w:val="C69C0012"/>
    <w:lvl w:ilvl="0" w:tplc="04150011">
      <w:start w:val="1"/>
      <w:numFmt w:val="decimal"/>
      <w:lvlText w:val="%1)"/>
      <w:lvlJc w:val="left"/>
      <w:pPr>
        <w:ind w:left="644" w:hanging="360"/>
      </w:pPr>
      <w:rPr>
        <w:rFonts w:hint="default"/>
        <w:b w:val="0"/>
        <w:i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B6F0C11"/>
    <w:multiLevelType w:val="hybridMultilevel"/>
    <w:tmpl w:val="33D6E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F1576"/>
    <w:multiLevelType w:val="hybridMultilevel"/>
    <w:tmpl w:val="E3F27A40"/>
    <w:lvl w:ilvl="0" w:tplc="3AFE8CB4">
      <w:start w:val="2"/>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F74F5A"/>
    <w:multiLevelType w:val="hybridMultilevel"/>
    <w:tmpl w:val="13840E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B74A6"/>
    <w:multiLevelType w:val="hybridMultilevel"/>
    <w:tmpl w:val="C0A4E308"/>
    <w:lvl w:ilvl="0" w:tplc="4B985A94">
      <w:start w:val="4"/>
      <w:numFmt w:val="decimal"/>
      <w:lvlText w:val="%1."/>
      <w:lvlJc w:val="left"/>
      <w:pPr>
        <w:ind w:left="502"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DD35F6"/>
    <w:multiLevelType w:val="hybridMultilevel"/>
    <w:tmpl w:val="8DC65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E8524A"/>
    <w:multiLevelType w:val="hybridMultilevel"/>
    <w:tmpl w:val="6084FBC2"/>
    <w:lvl w:ilvl="0" w:tplc="04150011">
      <w:start w:val="1"/>
      <w:numFmt w:val="decimal"/>
      <w:lvlText w:val="%1)"/>
      <w:lvlJc w:val="left"/>
      <w:pPr>
        <w:ind w:left="2487"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32E77709"/>
    <w:multiLevelType w:val="hybridMultilevel"/>
    <w:tmpl w:val="33C6B01A"/>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06A40"/>
    <w:multiLevelType w:val="hybridMultilevel"/>
    <w:tmpl w:val="BDEA7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037C6C"/>
    <w:multiLevelType w:val="hybridMultilevel"/>
    <w:tmpl w:val="F9EEA378"/>
    <w:lvl w:ilvl="0" w:tplc="C10EC284">
      <w:start w:val="1"/>
      <w:numFmt w:val="decimal"/>
      <w:lvlText w:val="%1."/>
      <w:lvlJc w:val="left"/>
      <w:pPr>
        <w:tabs>
          <w:tab w:val="num" w:pos="360"/>
        </w:tabs>
        <w:ind w:left="36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DD01E3D"/>
    <w:multiLevelType w:val="hybridMultilevel"/>
    <w:tmpl w:val="6682F8EE"/>
    <w:lvl w:ilvl="0" w:tplc="0415000F">
      <w:start w:val="1"/>
      <w:numFmt w:val="decimal"/>
      <w:lvlText w:val="%1."/>
      <w:lvlJc w:val="left"/>
      <w:pPr>
        <w:ind w:left="1432" w:hanging="360"/>
      </w:pPr>
    </w:lvl>
    <w:lvl w:ilvl="1" w:tplc="04150019" w:tentative="1">
      <w:start w:val="1"/>
      <w:numFmt w:val="lowerLetter"/>
      <w:lvlText w:val="%2."/>
      <w:lvlJc w:val="left"/>
      <w:pPr>
        <w:ind w:left="2152" w:hanging="360"/>
      </w:pPr>
    </w:lvl>
    <w:lvl w:ilvl="2" w:tplc="0415001B" w:tentative="1">
      <w:start w:val="1"/>
      <w:numFmt w:val="lowerRoman"/>
      <w:lvlText w:val="%3."/>
      <w:lvlJc w:val="right"/>
      <w:pPr>
        <w:ind w:left="2872" w:hanging="180"/>
      </w:pPr>
    </w:lvl>
    <w:lvl w:ilvl="3" w:tplc="0415000F" w:tentative="1">
      <w:start w:val="1"/>
      <w:numFmt w:val="decimal"/>
      <w:lvlText w:val="%4."/>
      <w:lvlJc w:val="left"/>
      <w:pPr>
        <w:ind w:left="3592" w:hanging="360"/>
      </w:pPr>
    </w:lvl>
    <w:lvl w:ilvl="4" w:tplc="04150019" w:tentative="1">
      <w:start w:val="1"/>
      <w:numFmt w:val="lowerLetter"/>
      <w:lvlText w:val="%5."/>
      <w:lvlJc w:val="left"/>
      <w:pPr>
        <w:ind w:left="4312" w:hanging="360"/>
      </w:pPr>
    </w:lvl>
    <w:lvl w:ilvl="5" w:tplc="0415001B" w:tentative="1">
      <w:start w:val="1"/>
      <w:numFmt w:val="lowerRoman"/>
      <w:lvlText w:val="%6."/>
      <w:lvlJc w:val="right"/>
      <w:pPr>
        <w:ind w:left="5032" w:hanging="180"/>
      </w:pPr>
    </w:lvl>
    <w:lvl w:ilvl="6" w:tplc="0415000F" w:tentative="1">
      <w:start w:val="1"/>
      <w:numFmt w:val="decimal"/>
      <w:lvlText w:val="%7."/>
      <w:lvlJc w:val="left"/>
      <w:pPr>
        <w:ind w:left="5752" w:hanging="360"/>
      </w:pPr>
    </w:lvl>
    <w:lvl w:ilvl="7" w:tplc="04150019" w:tentative="1">
      <w:start w:val="1"/>
      <w:numFmt w:val="lowerLetter"/>
      <w:lvlText w:val="%8."/>
      <w:lvlJc w:val="left"/>
      <w:pPr>
        <w:ind w:left="6472" w:hanging="360"/>
      </w:pPr>
    </w:lvl>
    <w:lvl w:ilvl="8" w:tplc="0415001B" w:tentative="1">
      <w:start w:val="1"/>
      <w:numFmt w:val="lowerRoman"/>
      <w:lvlText w:val="%9."/>
      <w:lvlJc w:val="right"/>
      <w:pPr>
        <w:ind w:left="7192" w:hanging="180"/>
      </w:pPr>
    </w:lvl>
  </w:abstractNum>
  <w:abstractNum w:abstractNumId="27" w15:restartNumberingAfterBreak="0">
    <w:nsid w:val="44D02B5D"/>
    <w:multiLevelType w:val="hybridMultilevel"/>
    <w:tmpl w:val="8BE2D0B4"/>
    <w:lvl w:ilvl="0" w:tplc="436879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8E3191"/>
    <w:multiLevelType w:val="hybridMultilevel"/>
    <w:tmpl w:val="7B7CC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D51AD1"/>
    <w:multiLevelType w:val="hybridMultilevel"/>
    <w:tmpl w:val="FCC82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50074B"/>
    <w:multiLevelType w:val="hybridMultilevel"/>
    <w:tmpl w:val="8F7AE61A"/>
    <w:lvl w:ilvl="0" w:tplc="0415000F">
      <w:start w:val="1"/>
      <w:numFmt w:val="decimal"/>
      <w:lvlText w:val="%1."/>
      <w:lvlJc w:val="left"/>
      <w:pPr>
        <w:ind w:left="6314" w:hanging="360"/>
      </w:pPr>
      <w:rPr>
        <w:rFonts w:hint="default"/>
      </w:rPr>
    </w:lvl>
    <w:lvl w:ilvl="1" w:tplc="04150019" w:tentative="1">
      <w:start w:val="1"/>
      <w:numFmt w:val="lowerLetter"/>
      <w:lvlText w:val="%2."/>
      <w:lvlJc w:val="left"/>
      <w:pPr>
        <w:ind w:left="7034" w:hanging="360"/>
      </w:pPr>
    </w:lvl>
    <w:lvl w:ilvl="2" w:tplc="0415001B">
      <w:start w:val="1"/>
      <w:numFmt w:val="lowerRoman"/>
      <w:lvlText w:val="%3."/>
      <w:lvlJc w:val="right"/>
      <w:pPr>
        <w:ind w:left="7754" w:hanging="180"/>
      </w:p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31" w15:restartNumberingAfterBreak="0">
    <w:nsid w:val="525E1455"/>
    <w:multiLevelType w:val="hybridMultilevel"/>
    <w:tmpl w:val="DC2AF606"/>
    <w:lvl w:ilvl="0" w:tplc="AF0C0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405E6D"/>
    <w:multiLevelType w:val="hybridMultilevel"/>
    <w:tmpl w:val="78024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E17623"/>
    <w:multiLevelType w:val="hybridMultilevel"/>
    <w:tmpl w:val="5AD86BCE"/>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15:restartNumberingAfterBreak="0">
    <w:nsid w:val="6542667D"/>
    <w:multiLevelType w:val="hybridMultilevel"/>
    <w:tmpl w:val="4444420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DAA58CC"/>
    <w:multiLevelType w:val="hybridMultilevel"/>
    <w:tmpl w:val="43A0A118"/>
    <w:lvl w:ilvl="0" w:tplc="0415000F">
      <w:start w:val="1"/>
      <w:numFmt w:val="decimal"/>
      <w:lvlText w:val="%1."/>
      <w:lvlJc w:val="left"/>
      <w:pPr>
        <w:ind w:left="720" w:hanging="360"/>
      </w:pPr>
      <w:rPr>
        <w:rFonts w:hint="default"/>
      </w:rPr>
    </w:lvl>
    <w:lvl w:ilvl="1" w:tplc="B77ED9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F94736"/>
    <w:multiLevelType w:val="hybridMultilevel"/>
    <w:tmpl w:val="C21C6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4306D"/>
    <w:multiLevelType w:val="hybridMultilevel"/>
    <w:tmpl w:val="AAD653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F2C3B50"/>
    <w:multiLevelType w:val="hybridMultilevel"/>
    <w:tmpl w:val="8CFE6FAE"/>
    <w:lvl w:ilvl="0" w:tplc="F2320E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6A20840"/>
    <w:multiLevelType w:val="hybridMultilevel"/>
    <w:tmpl w:val="C8FC0722"/>
    <w:lvl w:ilvl="0" w:tplc="6B8A14A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431CE3"/>
    <w:multiLevelType w:val="hybridMultilevel"/>
    <w:tmpl w:val="0172B66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32"/>
  </w:num>
  <w:num w:numId="2">
    <w:abstractNumId w:val="12"/>
  </w:num>
  <w:num w:numId="3">
    <w:abstractNumId w:val="14"/>
  </w:num>
  <w:num w:numId="4">
    <w:abstractNumId w:val="3"/>
  </w:num>
  <w:num w:numId="5">
    <w:abstractNumId w:val="27"/>
  </w:num>
  <w:num w:numId="6">
    <w:abstractNumId w:val="36"/>
  </w:num>
  <w:num w:numId="7">
    <w:abstractNumId w:val="7"/>
  </w:num>
  <w:num w:numId="8">
    <w:abstractNumId w:val="11"/>
  </w:num>
  <w:num w:numId="9">
    <w:abstractNumId w:val="37"/>
  </w:num>
  <w:num w:numId="10">
    <w:abstractNumId w:val="13"/>
  </w:num>
  <w:num w:numId="11">
    <w:abstractNumId w:val="23"/>
  </w:num>
  <w:num w:numId="12">
    <w:abstractNumId w:val="4"/>
  </w:num>
  <w:num w:numId="13">
    <w:abstractNumId w:val="16"/>
  </w:num>
  <w:num w:numId="14">
    <w:abstractNumId w:val="35"/>
  </w:num>
  <w:num w:numId="15">
    <w:abstractNumId w:val="34"/>
  </w:num>
  <w:num w:numId="16">
    <w:abstractNumId w:val="19"/>
  </w:num>
  <w:num w:numId="17">
    <w:abstractNumId w:val="1"/>
  </w:num>
  <w:num w:numId="18">
    <w:abstractNumId w:val="15"/>
  </w:num>
  <w:num w:numId="19">
    <w:abstractNumId w:val="5"/>
  </w:num>
  <w:num w:numId="20">
    <w:abstractNumId w:val="10"/>
  </w:num>
  <w:num w:numId="21">
    <w:abstractNumId w:val="38"/>
  </w:num>
  <w:num w:numId="22">
    <w:abstractNumId w:val="9"/>
  </w:num>
  <w:num w:numId="23">
    <w:abstractNumId w:val="22"/>
  </w:num>
  <w:num w:numId="24">
    <w:abstractNumId w:val="40"/>
  </w:num>
  <w:num w:numId="25">
    <w:abstractNumId w:val="33"/>
  </w:num>
  <w:num w:numId="26">
    <w:abstractNumId w:val="30"/>
  </w:num>
  <w:num w:numId="27">
    <w:abstractNumId w:val="17"/>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8"/>
  </w:num>
  <w:num w:numId="39">
    <w:abstractNumId w:val="31"/>
  </w:num>
  <w:num w:numId="40">
    <w:abstractNumId w:val="39"/>
  </w:num>
  <w:num w:numId="41">
    <w:abstractNumId w:val="24"/>
  </w:num>
  <w:num w:numId="42">
    <w:abstractNumId w:val="2"/>
  </w:num>
  <w:num w:numId="43">
    <w:abstractNumId w:val="6"/>
  </w:num>
  <w:num w:numId="44">
    <w:abstractNumId w:val="21"/>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8"/>
  </w:num>
  <w:num w:numId="48">
    <w:abstractNumId w:val="26"/>
  </w:num>
  <w:num w:numId="49">
    <w:abstractNumId w:val="18"/>
  </w:num>
  <w:num w:numId="5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07"/>
    <w:rsid w:val="00000BE0"/>
    <w:rsid w:val="00004C5C"/>
    <w:rsid w:val="0000526A"/>
    <w:rsid w:val="0001038E"/>
    <w:rsid w:val="000109AC"/>
    <w:rsid w:val="00016465"/>
    <w:rsid w:val="000171FA"/>
    <w:rsid w:val="00026C59"/>
    <w:rsid w:val="00027FB9"/>
    <w:rsid w:val="0003289C"/>
    <w:rsid w:val="00032ECA"/>
    <w:rsid w:val="00035AAE"/>
    <w:rsid w:val="00040E10"/>
    <w:rsid w:val="00040E80"/>
    <w:rsid w:val="0004320B"/>
    <w:rsid w:val="0004606D"/>
    <w:rsid w:val="000501AC"/>
    <w:rsid w:val="00050581"/>
    <w:rsid w:val="00052554"/>
    <w:rsid w:val="00053542"/>
    <w:rsid w:val="000546BE"/>
    <w:rsid w:val="000573E7"/>
    <w:rsid w:val="00062252"/>
    <w:rsid w:val="00062673"/>
    <w:rsid w:val="00063BED"/>
    <w:rsid w:val="000649A5"/>
    <w:rsid w:val="000649AA"/>
    <w:rsid w:val="000670A4"/>
    <w:rsid w:val="00071D9A"/>
    <w:rsid w:val="0007504F"/>
    <w:rsid w:val="00076852"/>
    <w:rsid w:val="0008449B"/>
    <w:rsid w:val="00085932"/>
    <w:rsid w:val="00086141"/>
    <w:rsid w:val="00091D68"/>
    <w:rsid w:val="00092961"/>
    <w:rsid w:val="00092A9A"/>
    <w:rsid w:val="000B0D64"/>
    <w:rsid w:val="000B1986"/>
    <w:rsid w:val="000B308D"/>
    <w:rsid w:val="000B40D6"/>
    <w:rsid w:val="000C214B"/>
    <w:rsid w:val="000C3FF6"/>
    <w:rsid w:val="000C4C3C"/>
    <w:rsid w:val="000C6552"/>
    <w:rsid w:val="000C65C8"/>
    <w:rsid w:val="000C683A"/>
    <w:rsid w:val="000D044D"/>
    <w:rsid w:val="000D2915"/>
    <w:rsid w:val="000D6C87"/>
    <w:rsid w:val="000E1E37"/>
    <w:rsid w:val="000E2047"/>
    <w:rsid w:val="000E2991"/>
    <w:rsid w:val="000E6A36"/>
    <w:rsid w:val="000F03B8"/>
    <w:rsid w:val="000F755B"/>
    <w:rsid w:val="000F7B41"/>
    <w:rsid w:val="001013A7"/>
    <w:rsid w:val="00105CCE"/>
    <w:rsid w:val="00107916"/>
    <w:rsid w:val="00111820"/>
    <w:rsid w:val="001131A9"/>
    <w:rsid w:val="00114327"/>
    <w:rsid w:val="001143CA"/>
    <w:rsid w:val="00120EE4"/>
    <w:rsid w:val="0012293C"/>
    <w:rsid w:val="00122B30"/>
    <w:rsid w:val="001236C4"/>
    <w:rsid w:val="00123FE2"/>
    <w:rsid w:val="00131F4C"/>
    <w:rsid w:val="00134900"/>
    <w:rsid w:val="001350E0"/>
    <w:rsid w:val="00135284"/>
    <w:rsid w:val="00135591"/>
    <w:rsid w:val="001404CC"/>
    <w:rsid w:val="00147333"/>
    <w:rsid w:val="0015342A"/>
    <w:rsid w:val="00166AC5"/>
    <w:rsid w:val="00166FB3"/>
    <w:rsid w:val="001670A0"/>
    <w:rsid w:val="0016729B"/>
    <w:rsid w:val="00167BEE"/>
    <w:rsid w:val="0017001F"/>
    <w:rsid w:val="00172BB4"/>
    <w:rsid w:val="001804E2"/>
    <w:rsid w:val="00185049"/>
    <w:rsid w:val="00186B8B"/>
    <w:rsid w:val="00187010"/>
    <w:rsid w:val="001877BF"/>
    <w:rsid w:val="00187D64"/>
    <w:rsid w:val="001973CC"/>
    <w:rsid w:val="00197DAF"/>
    <w:rsid w:val="001A05FF"/>
    <w:rsid w:val="001A3023"/>
    <w:rsid w:val="001A4773"/>
    <w:rsid w:val="001A4BC2"/>
    <w:rsid w:val="001A4F1C"/>
    <w:rsid w:val="001A7C7C"/>
    <w:rsid w:val="001B1507"/>
    <w:rsid w:val="001B2901"/>
    <w:rsid w:val="001B4A0E"/>
    <w:rsid w:val="001B55E5"/>
    <w:rsid w:val="001B6634"/>
    <w:rsid w:val="001C104F"/>
    <w:rsid w:val="001C18C7"/>
    <w:rsid w:val="001C2F56"/>
    <w:rsid w:val="001C418B"/>
    <w:rsid w:val="001C7414"/>
    <w:rsid w:val="001D1180"/>
    <w:rsid w:val="001D2FA6"/>
    <w:rsid w:val="001D68EB"/>
    <w:rsid w:val="001E13D6"/>
    <w:rsid w:val="001E24C0"/>
    <w:rsid w:val="001E2C0E"/>
    <w:rsid w:val="001E3B63"/>
    <w:rsid w:val="001E513A"/>
    <w:rsid w:val="001F16F6"/>
    <w:rsid w:val="001F3041"/>
    <w:rsid w:val="001F4415"/>
    <w:rsid w:val="001F45A9"/>
    <w:rsid w:val="001F4DF3"/>
    <w:rsid w:val="001F64D1"/>
    <w:rsid w:val="001F6A34"/>
    <w:rsid w:val="001F7C9F"/>
    <w:rsid w:val="00200491"/>
    <w:rsid w:val="00201F43"/>
    <w:rsid w:val="002022F1"/>
    <w:rsid w:val="0020418A"/>
    <w:rsid w:val="00204433"/>
    <w:rsid w:val="00205C49"/>
    <w:rsid w:val="00206A30"/>
    <w:rsid w:val="00207B19"/>
    <w:rsid w:val="00216CCE"/>
    <w:rsid w:val="00217F58"/>
    <w:rsid w:val="00221E9E"/>
    <w:rsid w:val="00221FEB"/>
    <w:rsid w:val="00223313"/>
    <w:rsid w:val="00223CAE"/>
    <w:rsid w:val="00225A8E"/>
    <w:rsid w:val="00227C61"/>
    <w:rsid w:val="002300A0"/>
    <w:rsid w:val="0023182A"/>
    <w:rsid w:val="00231A13"/>
    <w:rsid w:val="002340B0"/>
    <w:rsid w:val="0023620C"/>
    <w:rsid w:val="00236F3C"/>
    <w:rsid w:val="00251F33"/>
    <w:rsid w:val="00252B50"/>
    <w:rsid w:val="0025524F"/>
    <w:rsid w:val="00255701"/>
    <w:rsid w:val="00256D14"/>
    <w:rsid w:val="00257A01"/>
    <w:rsid w:val="002633ED"/>
    <w:rsid w:val="0027039C"/>
    <w:rsid w:val="00273433"/>
    <w:rsid w:val="00273747"/>
    <w:rsid w:val="00274F91"/>
    <w:rsid w:val="0027709E"/>
    <w:rsid w:val="00281353"/>
    <w:rsid w:val="00282E3C"/>
    <w:rsid w:val="00284C0C"/>
    <w:rsid w:val="002861FC"/>
    <w:rsid w:val="002865B8"/>
    <w:rsid w:val="00290F84"/>
    <w:rsid w:val="00296DC0"/>
    <w:rsid w:val="00296F6C"/>
    <w:rsid w:val="002A19D4"/>
    <w:rsid w:val="002A3DD7"/>
    <w:rsid w:val="002A5C1E"/>
    <w:rsid w:val="002A5CC7"/>
    <w:rsid w:val="002B0E14"/>
    <w:rsid w:val="002B1FBD"/>
    <w:rsid w:val="002B225B"/>
    <w:rsid w:val="002B2279"/>
    <w:rsid w:val="002B793E"/>
    <w:rsid w:val="002C06DC"/>
    <w:rsid w:val="002C3421"/>
    <w:rsid w:val="002D01A7"/>
    <w:rsid w:val="002D05EB"/>
    <w:rsid w:val="002E4562"/>
    <w:rsid w:val="002E48B7"/>
    <w:rsid w:val="002F7C05"/>
    <w:rsid w:val="00300BEF"/>
    <w:rsid w:val="0030189A"/>
    <w:rsid w:val="00303C47"/>
    <w:rsid w:val="0030539C"/>
    <w:rsid w:val="003067AE"/>
    <w:rsid w:val="00306F3B"/>
    <w:rsid w:val="00307F8F"/>
    <w:rsid w:val="00312578"/>
    <w:rsid w:val="003152FB"/>
    <w:rsid w:val="00317293"/>
    <w:rsid w:val="003201D4"/>
    <w:rsid w:val="00320546"/>
    <w:rsid w:val="00325210"/>
    <w:rsid w:val="00327CEE"/>
    <w:rsid w:val="00330D82"/>
    <w:rsid w:val="00331443"/>
    <w:rsid w:val="00332CF0"/>
    <w:rsid w:val="003341DB"/>
    <w:rsid w:val="00334644"/>
    <w:rsid w:val="00334840"/>
    <w:rsid w:val="00335B62"/>
    <w:rsid w:val="00337335"/>
    <w:rsid w:val="00337725"/>
    <w:rsid w:val="003414EA"/>
    <w:rsid w:val="00343A57"/>
    <w:rsid w:val="003445A8"/>
    <w:rsid w:val="00345BA6"/>
    <w:rsid w:val="0035006D"/>
    <w:rsid w:val="00351168"/>
    <w:rsid w:val="00355F04"/>
    <w:rsid w:val="00362733"/>
    <w:rsid w:val="00364B0F"/>
    <w:rsid w:val="003677FE"/>
    <w:rsid w:val="00367F4B"/>
    <w:rsid w:val="00381741"/>
    <w:rsid w:val="0038685B"/>
    <w:rsid w:val="00396345"/>
    <w:rsid w:val="003A0944"/>
    <w:rsid w:val="003A1987"/>
    <w:rsid w:val="003A5236"/>
    <w:rsid w:val="003A75EC"/>
    <w:rsid w:val="003B07C0"/>
    <w:rsid w:val="003B2DF7"/>
    <w:rsid w:val="003B41F7"/>
    <w:rsid w:val="003C357D"/>
    <w:rsid w:val="003D0380"/>
    <w:rsid w:val="003D2D7D"/>
    <w:rsid w:val="003D3E09"/>
    <w:rsid w:val="003D597C"/>
    <w:rsid w:val="003D5AA4"/>
    <w:rsid w:val="003D608F"/>
    <w:rsid w:val="003D6563"/>
    <w:rsid w:val="003E2E4E"/>
    <w:rsid w:val="003E48AB"/>
    <w:rsid w:val="003E51A6"/>
    <w:rsid w:val="003E6E0A"/>
    <w:rsid w:val="003E7995"/>
    <w:rsid w:val="003E7A50"/>
    <w:rsid w:val="003E7B4C"/>
    <w:rsid w:val="003F0930"/>
    <w:rsid w:val="003F1912"/>
    <w:rsid w:val="003F216E"/>
    <w:rsid w:val="003F2448"/>
    <w:rsid w:val="003F3BE8"/>
    <w:rsid w:val="003F56AC"/>
    <w:rsid w:val="00400EA5"/>
    <w:rsid w:val="004039FE"/>
    <w:rsid w:val="004078F0"/>
    <w:rsid w:val="004120B8"/>
    <w:rsid w:val="004145CB"/>
    <w:rsid w:val="00415A4E"/>
    <w:rsid w:val="00416CE2"/>
    <w:rsid w:val="004204E9"/>
    <w:rsid w:val="004228CC"/>
    <w:rsid w:val="00422A98"/>
    <w:rsid w:val="00424588"/>
    <w:rsid w:val="0042486B"/>
    <w:rsid w:val="00425653"/>
    <w:rsid w:val="004427F7"/>
    <w:rsid w:val="00443DFA"/>
    <w:rsid w:val="004502FF"/>
    <w:rsid w:val="00456F8A"/>
    <w:rsid w:val="00465E87"/>
    <w:rsid w:val="00466098"/>
    <w:rsid w:val="00466AA3"/>
    <w:rsid w:val="00467D61"/>
    <w:rsid w:val="00470319"/>
    <w:rsid w:val="00474544"/>
    <w:rsid w:val="00474C2B"/>
    <w:rsid w:val="0047503E"/>
    <w:rsid w:val="00480777"/>
    <w:rsid w:val="00482D7B"/>
    <w:rsid w:val="004871E7"/>
    <w:rsid w:val="00487C9F"/>
    <w:rsid w:val="00487CAE"/>
    <w:rsid w:val="004903DF"/>
    <w:rsid w:val="00491ABF"/>
    <w:rsid w:val="00491DED"/>
    <w:rsid w:val="004A590C"/>
    <w:rsid w:val="004B3CFC"/>
    <w:rsid w:val="004B55D4"/>
    <w:rsid w:val="004B5CC6"/>
    <w:rsid w:val="004C1DB2"/>
    <w:rsid w:val="004C3632"/>
    <w:rsid w:val="004C3D29"/>
    <w:rsid w:val="004C4244"/>
    <w:rsid w:val="004C453D"/>
    <w:rsid w:val="004C742D"/>
    <w:rsid w:val="004C77EB"/>
    <w:rsid w:val="004D4892"/>
    <w:rsid w:val="004D4993"/>
    <w:rsid w:val="004D7827"/>
    <w:rsid w:val="004E4AD6"/>
    <w:rsid w:val="004E70D1"/>
    <w:rsid w:val="004F6000"/>
    <w:rsid w:val="004F65FE"/>
    <w:rsid w:val="004F78EE"/>
    <w:rsid w:val="00503FC0"/>
    <w:rsid w:val="00504625"/>
    <w:rsid w:val="00507CE9"/>
    <w:rsid w:val="00511AFB"/>
    <w:rsid w:val="005120F2"/>
    <w:rsid w:val="00513248"/>
    <w:rsid w:val="00527255"/>
    <w:rsid w:val="005328AE"/>
    <w:rsid w:val="00532A37"/>
    <w:rsid w:val="00533F4A"/>
    <w:rsid w:val="00534B94"/>
    <w:rsid w:val="00536F51"/>
    <w:rsid w:val="00541DF0"/>
    <w:rsid w:val="005425CC"/>
    <w:rsid w:val="00542BA0"/>
    <w:rsid w:val="005432D7"/>
    <w:rsid w:val="00544952"/>
    <w:rsid w:val="00544BC9"/>
    <w:rsid w:val="005452A7"/>
    <w:rsid w:val="00550F02"/>
    <w:rsid w:val="005512CF"/>
    <w:rsid w:val="005530AA"/>
    <w:rsid w:val="0055315B"/>
    <w:rsid w:val="00553482"/>
    <w:rsid w:val="0056214E"/>
    <w:rsid w:val="005653EF"/>
    <w:rsid w:val="0057263E"/>
    <w:rsid w:val="00574F28"/>
    <w:rsid w:val="00576B82"/>
    <w:rsid w:val="00577678"/>
    <w:rsid w:val="0058501A"/>
    <w:rsid w:val="00592DF7"/>
    <w:rsid w:val="00593C62"/>
    <w:rsid w:val="005942AE"/>
    <w:rsid w:val="005B2A4A"/>
    <w:rsid w:val="005C4E99"/>
    <w:rsid w:val="005D2234"/>
    <w:rsid w:val="005D3E15"/>
    <w:rsid w:val="005E1CEF"/>
    <w:rsid w:val="005E21B0"/>
    <w:rsid w:val="005E21EC"/>
    <w:rsid w:val="005E61FE"/>
    <w:rsid w:val="005F0B86"/>
    <w:rsid w:val="005F1276"/>
    <w:rsid w:val="005F3811"/>
    <w:rsid w:val="005F48F0"/>
    <w:rsid w:val="005F6B45"/>
    <w:rsid w:val="0060152B"/>
    <w:rsid w:val="006020EC"/>
    <w:rsid w:val="006044F4"/>
    <w:rsid w:val="00606BB4"/>
    <w:rsid w:val="0061073D"/>
    <w:rsid w:val="00611469"/>
    <w:rsid w:val="00612077"/>
    <w:rsid w:val="006140A4"/>
    <w:rsid w:val="00623463"/>
    <w:rsid w:val="00626879"/>
    <w:rsid w:val="00627F16"/>
    <w:rsid w:val="00632186"/>
    <w:rsid w:val="0063473F"/>
    <w:rsid w:val="00636261"/>
    <w:rsid w:val="0063660F"/>
    <w:rsid w:val="00636CC5"/>
    <w:rsid w:val="00640127"/>
    <w:rsid w:val="006403D9"/>
    <w:rsid w:val="006404E0"/>
    <w:rsid w:val="00642626"/>
    <w:rsid w:val="00643249"/>
    <w:rsid w:val="0065130F"/>
    <w:rsid w:val="00652869"/>
    <w:rsid w:val="00652C60"/>
    <w:rsid w:val="00653F65"/>
    <w:rsid w:val="00662FA9"/>
    <w:rsid w:val="00663BAA"/>
    <w:rsid w:val="00664DFB"/>
    <w:rsid w:val="00664F9D"/>
    <w:rsid w:val="006658F1"/>
    <w:rsid w:val="00666DE0"/>
    <w:rsid w:val="00670E02"/>
    <w:rsid w:val="00673B89"/>
    <w:rsid w:val="00675CF0"/>
    <w:rsid w:val="00683C6D"/>
    <w:rsid w:val="00684F0D"/>
    <w:rsid w:val="00685CD1"/>
    <w:rsid w:val="0068683C"/>
    <w:rsid w:val="00687ABE"/>
    <w:rsid w:val="006921B4"/>
    <w:rsid w:val="006A00FC"/>
    <w:rsid w:val="006A5479"/>
    <w:rsid w:val="006A57D7"/>
    <w:rsid w:val="006A733A"/>
    <w:rsid w:val="006B0130"/>
    <w:rsid w:val="006B1627"/>
    <w:rsid w:val="006B1D1A"/>
    <w:rsid w:val="006B26D6"/>
    <w:rsid w:val="006B38E3"/>
    <w:rsid w:val="006B442F"/>
    <w:rsid w:val="006C007B"/>
    <w:rsid w:val="006C03DD"/>
    <w:rsid w:val="006C21FC"/>
    <w:rsid w:val="006C47E7"/>
    <w:rsid w:val="006C4C70"/>
    <w:rsid w:val="006C5939"/>
    <w:rsid w:val="006C75E0"/>
    <w:rsid w:val="006C7CCD"/>
    <w:rsid w:val="006D38C1"/>
    <w:rsid w:val="006D6243"/>
    <w:rsid w:val="006D6B37"/>
    <w:rsid w:val="006E145B"/>
    <w:rsid w:val="006E5829"/>
    <w:rsid w:val="006F2438"/>
    <w:rsid w:val="006F31DE"/>
    <w:rsid w:val="007056CA"/>
    <w:rsid w:val="00705CE0"/>
    <w:rsid w:val="007063D6"/>
    <w:rsid w:val="00706A8A"/>
    <w:rsid w:val="007075DC"/>
    <w:rsid w:val="00711758"/>
    <w:rsid w:val="00712421"/>
    <w:rsid w:val="00713B67"/>
    <w:rsid w:val="007152DD"/>
    <w:rsid w:val="0072064C"/>
    <w:rsid w:val="00721A43"/>
    <w:rsid w:val="00723CFE"/>
    <w:rsid w:val="00724D5B"/>
    <w:rsid w:val="00725289"/>
    <w:rsid w:val="007259E0"/>
    <w:rsid w:val="00725BEE"/>
    <w:rsid w:val="007274BB"/>
    <w:rsid w:val="00730FAC"/>
    <w:rsid w:val="0073137E"/>
    <w:rsid w:val="00733F3B"/>
    <w:rsid w:val="00734B37"/>
    <w:rsid w:val="0074033C"/>
    <w:rsid w:val="007432DA"/>
    <w:rsid w:val="00744F95"/>
    <w:rsid w:val="00746B08"/>
    <w:rsid w:val="007501D9"/>
    <w:rsid w:val="0075218F"/>
    <w:rsid w:val="00752E2C"/>
    <w:rsid w:val="0075421B"/>
    <w:rsid w:val="00760BBC"/>
    <w:rsid w:val="00761455"/>
    <w:rsid w:val="00761A44"/>
    <w:rsid w:val="0076701F"/>
    <w:rsid w:val="00770CAD"/>
    <w:rsid w:val="0077233C"/>
    <w:rsid w:val="007727C2"/>
    <w:rsid w:val="00782161"/>
    <w:rsid w:val="007870E4"/>
    <w:rsid w:val="007928B1"/>
    <w:rsid w:val="00796576"/>
    <w:rsid w:val="007A041A"/>
    <w:rsid w:val="007A2095"/>
    <w:rsid w:val="007A4E33"/>
    <w:rsid w:val="007B56BA"/>
    <w:rsid w:val="007C06E8"/>
    <w:rsid w:val="007C330B"/>
    <w:rsid w:val="007C45DE"/>
    <w:rsid w:val="007C6E50"/>
    <w:rsid w:val="007D0F32"/>
    <w:rsid w:val="007D2F9C"/>
    <w:rsid w:val="007D3D5F"/>
    <w:rsid w:val="007D7BAF"/>
    <w:rsid w:val="007E0741"/>
    <w:rsid w:val="007E14CB"/>
    <w:rsid w:val="007E1D08"/>
    <w:rsid w:val="007E24B6"/>
    <w:rsid w:val="007F049C"/>
    <w:rsid w:val="007F46A7"/>
    <w:rsid w:val="007F509A"/>
    <w:rsid w:val="007F78D9"/>
    <w:rsid w:val="00802651"/>
    <w:rsid w:val="00803CAC"/>
    <w:rsid w:val="0080416B"/>
    <w:rsid w:val="00804CE4"/>
    <w:rsid w:val="00813130"/>
    <w:rsid w:val="008138D1"/>
    <w:rsid w:val="00817029"/>
    <w:rsid w:val="0082068B"/>
    <w:rsid w:val="0082180E"/>
    <w:rsid w:val="00825A9A"/>
    <w:rsid w:val="00826D57"/>
    <w:rsid w:val="0083037A"/>
    <w:rsid w:val="00831831"/>
    <w:rsid w:val="00831F1E"/>
    <w:rsid w:val="00833059"/>
    <w:rsid w:val="00834E10"/>
    <w:rsid w:val="00835D53"/>
    <w:rsid w:val="00841876"/>
    <w:rsid w:val="00842ED4"/>
    <w:rsid w:val="00845A98"/>
    <w:rsid w:val="00846E61"/>
    <w:rsid w:val="00847CB1"/>
    <w:rsid w:val="00851AF4"/>
    <w:rsid w:val="008554A6"/>
    <w:rsid w:val="008613CC"/>
    <w:rsid w:val="00861581"/>
    <w:rsid w:val="00867694"/>
    <w:rsid w:val="0086787C"/>
    <w:rsid w:val="00871F07"/>
    <w:rsid w:val="0087233E"/>
    <w:rsid w:val="008733AA"/>
    <w:rsid w:val="0087797E"/>
    <w:rsid w:val="00880E6D"/>
    <w:rsid w:val="00882F77"/>
    <w:rsid w:val="00891166"/>
    <w:rsid w:val="00895229"/>
    <w:rsid w:val="008958BA"/>
    <w:rsid w:val="00895BC9"/>
    <w:rsid w:val="008969F7"/>
    <w:rsid w:val="008A11F3"/>
    <w:rsid w:val="008A27A8"/>
    <w:rsid w:val="008A3767"/>
    <w:rsid w:val="008A5000"/>
    <w:rsid w:val="008B3C93"/>
    <w:rsid w:val="008B424E"/>
    <w:rsid w:val="008B6BD0"/>
    <w:rsid w:val="008B6F06"/>
    <w:rsid w:val="008B775D"/>
    <w:rsid w:val="008C269A"/>
    <w:rsid w:val="008C491D"/>
    <w:rsid w:val="008C4D22"/>
    <w:rsid w:val="008D327C"/>
    <w:rsid w:val="008D6D72"/>
    <w:rsid w:val="008D6E67"/>
    <w:rsid w:val="008E1AA5"/>
    <w:rsid w:val="008E1B1C"/>
    <w:rsid w:val="008E2733"/>
    <w:rsid w:val="008E79FB"/>
    <w:rsid w:val="009006D9"/>
    <w:rsid w:val="009040C5"/>
    <w:rsid w:val="0090539D"/>
    <w:rsid w:val="00906968"/>
    <w:rsid w:val="00907FBD"/>
    <w:rsid w:val="00910314"/>
    <w:rsid w:val="0091396A"/>
    <w:rsid w:val="00921E2E"/>
    <w:rsid w:val="00933CC9"/>
    <w:rsid w:val="00940EA5"/>
    <w:rsid w:val="0094142E"/>
    <w:rsid w:val="0094291D"/>
    <w:rsid w:val="00943D08"/>
    <w:rsid w:val="00955517"/>
    <w:rsid w:val="009556FE"/>
    <w:rsid w:val="00956452"/>
    <w:rsid w:val="0096284D"/>
    <w:rsid w:val="00964362"/>
    <w:rsid w:val="0096798E"/>
    <w:rsid w:val="009711A2"/>
    <w:rsid w:val="0097396C"/>
    <w:rsid w:val="00977560"/>
    <w:rsid w:val="00977D85"/>
    <w:rsid w:val="00983BED"/>
    <w:rsid w:val="0098594A"/>
    <w:rsid w:val="00990FC9"/>
    <w:rsid w:val="009919ED"/>
    <w:rsid w:val="0099252E"/>
    <w:rsid w:val="009A36AD"/>
    <w:rsid w:val="009A44F1"/>
    <w:rsid w:val="009A55E2"/>
    <w:rsid w:val="009A670A"/>
    <w:rsid w:val="009B1DEB"/>
    <w:rsid w:val="009B56F0"/>
    <w:rsid w:val="009C4065"/>
    <w:rsid w:val="009C559A"/>
    <w:rsid w:val="009D0B1F"/>
    <w:rsid w:val="009D2243"/>
    <w:rsid w:val="009D2744"/>
    <w:rsid w:val="009D5594"/>
    <w:rsid w:val="009D6540"/>
    <w:rsid w:val="009D67BC"/>
    <w:rsid w:val="009E11C0"/>
    <w:rsid w:val="009E2530"/>
    <w:rsid w:val="009E2E2A"/>
    <w:rsid w:val="009E3912"/>
    <w:rsid w:val="009E5ABB"/>
    <w:rsid w:val="009E6B00"/>
    <w:rsid w:val="009E7D8F"/>
    <w:rsid w:val="009F1B3B"/>
    <w:rsid w:val="009F26F3"/>
    <w:rsid w:val="009F4D72"/>
    <w:rsid w:val="009F7EA7"/>
    <w:rsid w:val="00A0465A"/>
    <w:rsid w:val="00A066AF"/>
    <w:rsid w:val="00A109D5"/>
    <w:rsid w:val="00A1204F"/>
    <w:rsid w:val="00A1353A"/>
    <w:rsid w:val="00A14669"/>
    <w:rsid w:val="00A1593B"/>
    <w:rsid w:val="00A21813"/>
    <w:rsid w:val="00A270E0"/>
    <w:rsid w:val="00A309B9"/>
    <w:rsid w:val="00A30CB3"/>
    <w:rsid w:val="00A34224"/>
    <w:rsid w:val="00A34B35"/>
    <w:rsid w:val="00A43677"/>
    <w:rsid w:val="00A43BB1"/>
    <w:rsid w:val="00A45940"/>
    <w:rsid w:val="00A5009D"/>
    <w:rsid w:val="00A54473"/>
    <w:rsid w:val="00A54917"/>
    <w:rsid w:val="00A54A45"/>
    <w:rsid w:val="00A54DA8"/>
    <w:rsid w:val="00A550BA"/>
    <w:rsid w:val="00A5650F"/>
    <w:rsid w:val="00A56B3E"/>
    <w:rsid w:val="00A61419"/>
    <w:rsid w:val="00A61EC3"/>
    <w:rsid w:val="00A72742"/>
    <w:rsid w:val="00A72E65"/>
    <w:rsid w:val="00A77B46"/>
    <w:rsid w:val="00A823BE"/>
    <w:rsid w:val="00A83BC3"/>
    <w:rsid w:val="00A8417C"/>
    <w:rsid w:val="00A9149B"/>
    <w:rsid w:val="00A91E4F"/>
    <w:rsid w:val="00A929B3"/>
    <w:rsid w:val="00A92B5E"/>
    <w:rsid w:val="00A947D6"/>
    <w:rsid w:val="00A959FE"/>
    <w:rsid w:val="00A976BF"/>
    <w:rsid w:val="00AA06B7"/>
    <w:rsid w:val="00AA3370"/>
    <w:rsid w:val="00AB0D3C"/>
    <w:rsid w:val="00AB6797"/>
    <w:rsid w:val="00AC0632"/>
    <w:rsid w:val="00AC1A25"/>
    <w:rsid w:val="00AC6C5A"/>
    <w:rsid w:val="00AC6FBA"/>
    <w:rsid w:val="00AD04DC"/>
    <w:rsid w:val="00AD1088"/>
    <w:rsid w:val="00AD1777"/>
    <w:rsid w:val="00AD3B4B"/>
    <w:rsid w:val="00AD508C"/>
    <w:rsid w:val="00AD6138"/>
    <w:rsid w:val="00AE48C3"/>
    <w:rsid w:val="00AF018A"/>
    <w:rsid w:val="00AF09AB"/>
    <w:rsid w:val="00AF19D0"/>
    <w:rsid w:val="00AF3705"/>
    <w:rsid w:val="00AF4AC9"/>
    <w:rsid w:val="00AF5375"/>
    <w:rsid w:val="00AF5616"/>
    <w:rsid w:val="00B031A5"/>
    <w:rsid w:val="00B13400"/>
    <w:rsid w:val="00B145D8"/>
    <w:rsid w:val="00B15A56"/>
    <w:rsid w:val="00B167CE"/>
    <w:rsid w:val="00B16A48"/>
    <w:rsid w:val="00B16DA4"/>
    <w:rsid w:val="00B17671"/>
    <w:rsid w:val="00B17C62"/>
    <w:rsid w:val="00B21ABA"/>
    <w:rsid w:val="00B220E9"/>
    <w:rsid w:val="00B24EBB"/>
    <w:rsid w:val="00B25A6B"/>
    <w:rsid w:val="00B27D74"/>
    <w:rsid w:val="00B327DC"/>
    <w:rsid w:val="00B329D3"/>
    <w:rsid w:val="00B336DB"/>
    <w:rsid w:val="00B33B5E"/>
    <w:rsid w:val="00B36008"/>
    <w:rsid w:val="00B3658E"/>
    <w:rsid w:val="00B374DE"/>
    <w:rsid w:val="00B4258C"/>
    <w:rsid w:val="00B4275F"/>
    <w:rsid w:val="00B4337F"/>
    <w:rsid w:val="00B43F18"/>
    <w:rsid w:val="00B452C7"/>
    <w:rsid w:val="00B47007"/>
    <w:rsid w:val="00B470BA"/>
    <w:rsid w:val="00B47A5A"/>
    <w:rsid w:val="00B544D0"/>
    <w:rsid w:val="00B56E19"/>
    <w:rsid w:val="00B62882"/>
    <w:rsid w:val="00B64ACB"/>
    <w:rsid w:val="00B674BB"/>
    <w:rsid w:val="00B676A0"/>
    <w:rsid w:val="00B70FAD"/>
    <w:rsid w:val="00B739F0"/>
    <w:rsid w:val="00B75410"/>
    <w:rsid w:val="00B76B0D"/>
    <w:rsid w:val="00B76C24"/>
    <w:rsid w:val="00B80695"/>
    <w:rsid w:val="00B82E06"/>
    <w:rsid w:val="00B832CD"/>
    <w:rsid w:val="00B849E6"/>
    <w:rsid w:val="00B84D77"/>
    <w:rsid w:val="00B85716"/>
    <w:rsid w:val="00B865ED"/>
    <w:rsid w:val="00B924FC"/>
    <w:rsid w:val="00B93F7C"/>
    <w:rsid w:val="00B94327"/>
    <w:rsid w:val="00BA0307"/>
    <w:rsid w:val="00BA3C88"/>
    <w:rsid w:val="00BA3D34"/>
    <w:rsid w:val="00BA42E5"/>
    <w:rsid w:val="00BA6AEE"/>
    <w:rsid w:val="00BA6D2A"/>
    <w:rsid w:val="00BA7166"/>
    <w:rsid w:val="00BB2301"/>
    <w:rsid w:val="00BB3FCB"/>
    <w:rsid w:val="00BB4E8B"/>
    <w:rsid w:val="00BB5F0D"/>
    <w:rsid w:val="00BB7F09"/>
    <w:rsid w:val="00BC03FC"/>
    <w:rsid w:val="00BD0C4C"/>
    <w:rsid w:val="00BD177B"/>
    <w:rsid w:val="00BD1C6A"/>
    <w:rsid w:val="00BE07E4"/>
    <w:rsid w:val="00BE1BD4"/>
    <w:rsid w:val="00BE3E07"/>
    <w:rsid w:val="00BE4CA8"/>
    <w:rsid w:val="00BE5908"/>
    <w:rsid w:val="00BF3D13"/>
    <w:rsid w:val="00BF42F8"/>
    <w:rsid w:val="00C006E1"/>
    <w:rsid w:val="00C05E59"/>
    <w:rsid w:val="00C10439"/>
    <w:rsid w:val="00C11C8D"/>
    <w:rsid w:val="00C2024B"/>
    <w:rsid w:val="00C236C6"/>
    <w:rsid w:val="00C2668F"/>
    <w:rsid w:val="00C26922"/>
    <w:rsid w:val="00C3150F"/>
    <w:rsid w:val="00C32E84"/>
    <w:rsid w:val="00C36E0F"/>
    <w:rsid w:val="00C37588"/>
    <w:rsid w:val="00C37E2F"/>
    <w:rsid w:val="00C40165"/>
    <w:rsid w:val="00C41FE2"/>
    <w:rsid w:val="00C426C1"/>
    <w:rsid w:val="00C45695"/>
    <w:rsid w:val="00C47E4C"/>
    <w:rsid w:val="00C50E86"/>
    <w:rsid w:val="00C601FE"/>
    <w:rsid w:val="00C60B20"/>
    <w:rsid w:val="00C630C6"/>
    <w:rsid w:val="00C66225"/>
    <w:rsid w:val="00C66546"/>
    <w:rsid w:val="00C71506"/>
    <w:rsid w:val="00C72EDD"/>
    <w:rsid w:val="00C73A4A"/>
    <w:rsid w:val="00C75F95"/>
    <w:rsid w:val="00C768D7"/>
    <w:rsid w:val="00C804FC"/>
    <w:rsid w:val="00C811E9"/>
    <w:rsid w:val="00C82CE2"/>
    <w:rsid w:val="00C8530E"/>
    <w:rsid w:val="00C86384"/>
    <w:rsid w:val="00C9048C"/>
    <w:rsid w:val="00C91CEC"/>
    <w:rsid w:val="00CA00A9"/>
    <w:rsid w:val="00CA09D1"/>
    <w:rsid w:val="00CA2C20"/>
    <w:rsid w:val="00CA5373"/>
    <w:rsid w:val="00CB07A6"/>
    <w:rsid w:val="00CB58C2"/>
    <w:rsid w:val="00CC0ACD"/>
    <w:rsid w:val="00CC2A85"/>
    <w:rsid w:val="00CC52B4"/>
    <w:rsid w:val="00CC7265"/>
    <w:rsid w:val="00CD13ED"/>
    <w:rsid w:val="00CD4CDE"/>
    <w:rsid w:val="00CD52D0"/>
    <w:rsid w:val="00CD6876"/>
    <w:rsid w:val="00CD7638"/>
    <w:rsid w:val="00CE021E"/>
    <w:rsid w:val="00CE0890"/>
    <w:rsid w:val="00CE1C22"/>
    <w:rsid w:val="00CE2BDF"/>
    <w:rsid w:val="00CE2FA6"/>
    <w:rsid w:val="00CF1E6C"/>
    <w:rsid w:val="00CF1F9F"/>
    <w:rsid w:val="00CF706F"/>
    <w:rsid w:val="00D0140D"/>
    <w:rsid w:val="00D019BC"/>
    <w:rsid w:val="00D01D80"/>
    <w:rsid w:val="00D04550"/>
    <w:rsid w:val="00D1052E"/>
    <w:rsid w:val="00D12846"/>
    <w:rsid w:val="00D132D5"/>
    <w:rsid w:val="00D13ABF"/>
    <w:rsid w:val="00D159F8"/>
    <w:rsid w:val="00D159FA"/>
    <w:rsid w:val="00D16393"/>
    <w:rsid w:val="00D16A41"/>
    <w:rsid w:val="00D22450"/>
    <w:rsid w:val="00D22C62"/>
    <w:rsid w:val="00D260B1"/>
    <w:rsid w:val="00D2767D"/>
    <w:rsid w:val="00D306AA"/>
    <w:rsid w:val="00D31C6B"/>
    <w:rsid w:val="00D350BA"/>
    <w:rsid w:val="00D3583F"/>
    <w:rsid w:val="00D36270"/>
    <w:rsid w:val="00D37417"/>
    <w:rsid w:val="00D37F1E"/>
    <w:rsid w:val="00D37F4F"/>
    <w:rsid w:val="00D42800"/>
    <w:rsid w:val="00D47116"/>
    <w:rsid w:val="00D5357F"/>
    <w:rsid w:val="00D54716"/>
    <w:rsid w:val="00D56A67"/>
    <w:rsid w:val="00D61C3B"/>
    <w:rsid w:val="00D67D9F"/>
    <w:rsid w:val="00D710E1"/>
    <w:rsid w:val="00D71A98"/>
    <w:rsid w:val="00D72B27"/>
    <w:rsid w:val="00D73668"/>
    <w:rsid w:val="00D73DB0"/>
    <w:rsid w:val="00D76A8A"/>
    <w:rsid w:val="00D8051C"/>
    <w:rsid w:val="00D80C22"/>
    <w:rsid w:val="00D81F19"/>
    <w:rsid w:val="00D8363A"/>
    <w:rsid w:val="00D87784"/>
    <w:rsid w:val="00D87D75"/>
    <w:rsid w:val="00D90FE1"/>
    <w:rsid w:val="00D93451"/>
    <w:rsid w:val="00DA1A1A"/>
    <w:rsid w:val="00DA1ED5"/>
    <w:rsid w:val="00DA231A"/>
    <w:rsid w:val="00DA23AA"/>
    <w:rsid w:val="00DB0C67"/>
    <w:rsid w:val="00DB4130"/>
    <w:rsid w:val="00DB44C1"/>
    <w:rsid w:val="00DC092A"/>
    <w:rsid w:val="00DC15CC"/>
    <w:rsid w:val="00DC3ADA"/>
    <w:rsid w:val="00DC408A"/>
    <w:rsid w:val="00DC7158"/>
    <w:rsid w:val="00DC7327"/>
    <w:rsid w:val="00DD0AD2"/>
    <w:rsid w:val="00DD39CD"/>
    <w:rsid w:val="00DD70F7"/>
    <w:rsid w:val="00DE2422"/>
    <w:rsid w:val="00DE336C"/>
    <w:rsid w:val="00DE55CB"/>
    <w:rsid w:val="00DE5B52"/>
    <w:rsid w:val="00DF049A"/>
    <w:rsid w:val="00DF4DAB"/>
    <w:rsid w:val="00DF623D"/>
    <w:rsid w:val="00E018E7"/>
    <w:rsid w:val="00E02706"/>
    <w:rsid w:val="00E06CAB"/>
    <w:rsid w:val="00E071C4"/>
    <w:rsid w:val="00E0760A"/>
    <w:rsid w:val="00E0775A"/>
    <w:rsid w:val="00E11054"/>
    <w:rsid w:val="00E14DA0"/>
    <w:rsid w:val="00E203D0"/>
    <w:rsid w:val="00E23E65"/>
    <w:rsid w:val="00E26BC6"/>
    <w:rsid w:val="00E27B7F"/>
    <w:rsid w:val="00E30258"/>
    <w:rsid w:val="00E310CB"/>
    <w:rsid w:val="00E328E2"/>
    <w:rsid w:val="00E32A40"/>
    <w:rsid w:val="00E33C6B"/>
    <w:rsid w:val="00E40C86"/>
    <w:rsid w:val="00E42713"/>
    <w:rsid w:val="00E43D25"/>
    <w:rsid w:val="00E474BF"/>
    <w:rsid w:val="00E502A9"/>
    <w:rsid w:val="00E52085"/>
    <w:rsid w:val="00E533A5"/>
    <w:rsid w:val="00E61F2E"/>
    <w:rsid w:val="00E64B29"/>
    <w:rsid w:val="00E66709"/>
    <w:rsid w:val="00E70DC1"/>
    <w:rsid w:val="00E719E8"/>
    <w:rsid w:val="00E80D8E"/>
    <w:rsid w:val="00E81D9D"/>
    <w:rsid w:val="00E837F1"/>
    <w:rsid w:val="00E86ABC"/>
    <w:rsid w:val="00E86E49"/>
    <w:rsid w:val="00E872A2"/>
    <w:rsid w:val="00E91A93"/>
    <w:rsid w:val="00E93BBD"/>
    <w:rsid w:val="00E96357"/>
    <w:rsid w:val="00E96DCC"/>
    <w:rsid w:val="00EA1C32"/>
    <w:rsid w:val="00EA28D6"/>
    <w:rsid w:val="00EA4E5F"/>
    <w:rsid w:val="00EB1E31"/>
    <w:rsid w:val="00EB7803"/>
    <w:rsid w:val="00EC0A8B"/>
    <w:rsid w:val="00EC21D1"/>
    <w:rsid w:val="00EC25AF"/>
    <w:rsid w:val="00EC2B60"/>
    <w:rsid w:val="00EC597A"/>
    <w:rsid w:val="00ED382B"/>
    <w:rsid w:val="00ED40AE"/>
    <w:rsid w:val="00ED4218"/>
    <w:rsid w:val="00ED451F"/>
    <w:rsid w:val="00ED6509"/>
    <w:rsid w:val="00EE1720"/>
    <w:rsid w:val="00EE1F16"/>
    <w:rsid w:val="00EE26A2"/>
    <w:rsid w:val="00EE2E8E"/>
    <w:rsid w:val="00EE4F1B"/>
    <w:rsid w:val="00EF0632"/>
    <w:rsid w:val="00EF418D"/>
    <w:rsid w:val="00EF48F6"/>
    <w:rsid w:val="00EF4CB9"/>
    <w:rsid w:val="00EF62E9"/>
    <w:rsid w:val="00F00959"/>
    <w:rsid w:val="00F03502"/>
    <w:rsid w:val="00F071D0"/>
    <w:rsid w:val="00F14D8C"/>
    <w:rsid w:val="00F203B0"/>
    <w:rsid w:val="00F2213B"/>
    <w:rsid w:val="00F2698A"/>
    <w:rsid w:val="00F269AC"/>
    <w:rsid w:val="00F31459"/>
    <w:rsid w:val="00F32FF8"/>
    <w:rsid w:val="00F36C57"/>
    <w:rsid w:val="00F376AC"/>
    <w:rsid w:val="00F37866"/>
    <w:rsid w:val="00F42588"/>
    <w:rsid w:val="00F42F9D"/>
    <w:rsid w:val="00F43246"/>
    <w:rsid w:val="00F44FEA"/>
    <w:rsid w:val="00F4661F"/>
    <w:rsid w:val="00F51411"/>
    <w:rsid w:val="00F52841"/>
    <w:rsid w:val="00F612D9"/>
    <w:rsid w:val="00F61C09"/>
    <w:rsid w:val="00F64049"/>
    <w:rsid w:val="00F64FB5"/>
    <w:rsid w:val="00F65DAC"/>
    <w:rsid w:val="00F740C2"/>
    <w:rsid w:val="00F74F55"/>
    <w:rsid w:val="00F75D84"/>
    <w:rsid w:val="00F76499"/>
    <w:rsid w:val="00F80BAE"/>
    <w:rsid w:val="00F812EF"/>
    <w:rsid w:val="00F81639"/>
    <w:rsid w:val="00F84C24"/>
    <w:rsid w:val="00F854C1"/>
    <w:rsid w:val="00F92CC3"/>
    <w:rsid w:val="00F939F5"/>
    <w:rsid w:val="00FA175D"/>
    <w:rsid w:val="00FA1E97"/>
    <w:rsid w:val="00FA4EDD"/>
    <w:rsid w:val="00FA5EA0"/>
    <w:rsid w:val="00FA6B1B"/>
    <w:rsid w:val="00FA793C"/>
    <w:rsid w:val="00FB05D7"/>
    <w:rsid w:val="00FB1E13"/>
    <w:rsid w:val="00FB570E"/>
    <w:rsid w:val="00FB657C"/>
    <w:rsid w:val="00FC5923"/>
    <w:rsid w:val="00FD362C"/>
    <w:rsid w:val="00FD5FA9"/>
    <w:rsid w:val="00FD620F"/>
    <w:rsid w:val="00FD6415"/>
    <w:rsid w:val="00FD7332"/>
    <w:rsid w:val="00FE4532"/>
    <w:rsid w:val="00FE5C4D"/>
    <w:rsid w:val="00FE704E"/>
    <w:rsid w:val="00FF1D4D"/>
    <w:rsid w:val="00FF3CDC"/>
    <w:rsid w:val="00FF5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48CD"/>
  <w15:docId w15:val="{29F97A77-F2B2-4A33-815D-880068AB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3E7"/>
    <w:pPr>
      <w:spacing w:after="200" w:line="276" w:lineRule="auto"/>
    </w:pPr>
  </w:style>
  <w:style w:type="paragraph" w:styleId="Nagwek1">
    <w:name w:val="heading 1"/>
    <w:basedOn w:val="Normalny"/>
    <w:link w:val="Nagwek1Znak"/>
    <w:uiPriority w:val="9"/>
    <w:qFormat/>
    <w:rsid w:val="006C4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4700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nhideWhenUsed/>
    <w:rsid w:val="000573E7"/>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0573E7"/>
    <w:rPr>
      <w:sz w:val="20"/>
      <w:szCs w:val="20"/>
      <w:lang w:val="en-GB"/>
    </w:rPr>
  </w:style>
  <w:style w:type="character" w:styleId="Odwoanieprzypisudolnego">
    <w:name w:val="footnote reference"/>
    <w:aliases w:val="ftref,Footnotes refss,Fussnota,Footnote symbol,Footnote reference number,Times 10 Point,Exposant 3 Point,EN Footnote Reference,note TESI,Footnote Reference Superscript,Zchn Zchn,Footnote number,Footnote Reference Number,R,o,Re"/>
    <w:unhideWhenUsed/>
    <w:qFormat/>
    <w:rsid w:val="000573E7"/>
    <w:rPr>
      <w:vertAlign w:val="superscript"/>
    </w:rPr>
  </w:style>
  <w:style w:type="paragraph" w:styleId="Akapitzlist">
    <w:name w:val="List Paragraph"/>
    <w:basedOn w:val="Normalny"/>
    <w:link w:val="AkapitzlistZnak"/>
    <w:uiPriority w:val="34"/>
    <w:qFormat/>
    <w:rsid w:val="000573E7"/>
    <w:pPr>
      <w:ind w:left="720"/>
      <w:contextualSpacing/>
    </w:pPr>
  </w:style>
  <w:style w:type="paragraph" w:styleId="Nagwek">
    <w:name w:val="header"/>
    <w:basedOn w:val="Normalny"/>
    <w:link w:val="NagwekZnak"/>
    <w:uiPriority w:val="99"/>
    <w:unhideWhenUsed/>
    <w:rsid w:val="001F1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16F6"/>
    <w:rPr>
      <w:lang w:val="en-GB"/>
    </w:rPr>
  </w:style>
  <w:style w:type="paragraph" w:styleId="Stopka">
    <w:name w:val="footer"/>
    <w:basedOn w:val="Normalny"/>
    <w:link w:val="StopkaZnak"/>
    <w:uiPriority w:val="99"/>
    <w:unhideWhenUsed/>
    <w:rsid w:val="001F1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16F6"/>
    <w:rPr>
      <w:lang w:val="en-GB"/>
    </w:rPr>
  </w:style>
  <w:style w:type="paragraph" w:styleId="NormalnyWeb">
    <w:name w:val="Normal (Web)"/>
    <w:basedOn w:val="Normalny"/>
    <w:uiPriority w:val="99"/>
    <w:rsid w:val="004C42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DD39CD"/>
    <w:rPr>
      <w:lang w:val="en-GB"/>
    </w:rPr>
  </w:style>
  <w:style w:type="paragraph" w:styleId="Tekstdymka">
    <w:name w:val="Balloon Text"/>
    <w:basedOn w:val="Normalny"/>
    <w:link w:val="TekstdymkaZnak"/>
    <w:uiPriority w:val="99"/>
    <w:semiHidden/>
    <w:unhideWhenUsed/>
    <w:rsid w:val="00364B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4B0F"/>
    <w:rPr>
      <w:rFonts w:ascii="Segoe UI" w:hAnsi="Segoe UI" w:cs="Segoe UI"/>
      <w:sz w:val="18"/>
      <w:szCs w:val="18"/>
      <w:lang w:val="en-GB"/>
    </w:rPr>
  </w:style>
  <w:style w:type="character" w:styleId="Odwoaniedokomentarza">
    <w:name w:val="annotation reference"/>
    <w:basedOn w:val="Domylnaczcionkaakapitu"/>
    <w:uiPriority w:val="99"/>
    <w:semiHidden/>
    <w:unhideWhenUsed/>
    <w:rsid w:val="002B1FBD"/>
    <w:rPr>
      <w:sz w:val="16"/>
      <w:szCs w:val="16"/>
    </w:rPr>
  </w:style>
  <w:style w:type="paragraph" w:styleId="Tekstkomentarza">
    <w:name w:val="annotation text"/>
    <w:aliases w:val="Znak, Znak"/>
    <w:basedOn w:val="Normalny"/>
    <w:link w:val="TekstkomentarzaZnak"/>
    <w:uiPriority w:val="99"/>
    <w:unhideWhenUsed/>
    <w:rsid w:val="002B1FBD"/>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rsid w:val="002B1FBD"/>
    <w:rPr>
      <w:sz w:val="20"/>
      <w:szCs w:val="20"/>
      <w:lang w:val="en-GB"/>
    </w:rPr>
  </w:style>
  <w:style w:type="paragraph" w:styleId="Tematkomentarza">
    <w:name w:val="annotation subject"/>
    <w:basedOn w:val="Tekstkomentarza"/>
    <w:next w:val="Tekstkomentarza"/>
    <w:link w:val="TematkomentarzaZnak"/>
    <w:uiPriority w:val="99"/>
    <w:semiHidden/>
    <w:unhideWhenUsed/>
    <w:rsid w:val="002B1FBD"/>
    <w:rPr>
      <w:b/>
      <w:bCs/>
    </w:rPr>
  </w:style>
  <w:style w:type="character" w:customStyle="1" w:styleId="TematkomentarzaZnak">
    <w:name w:val="Temat komentarza Znak"/>
    <w:basedOn w:val="TekstkomentarzaZnak"/>
    <w:link w:val="Tematkomentarza"/>
    <w:uiPriority w:val="99"/>
    <w:semiHidden/>
    <w:rsid w:val="002B1FBD"/>
    <w:rPr>
      <w:b/>
      <w:bCs/>
      <w:sz w:val="20"/>
      <w:szCs w:val="20"/>
      <w:lang w:val="en-GB"/>
    </w:rPr>
  </w:style>
  <w:style w:type="paragraph" w:styleId="Tekstpodstawowy">
    <w:name w:val="Body Text"/>
    <w:basedOn w:val="Normalny"/>
    <w:link w:val="TekstpodstawowyZnak1"/>
    <w:rsid w:val="003F216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3F216E"/>
    <w:rPr>
      <w:lang w:val="en-GB"/>
    </w:rPr>
  </w:style>
  <w:style w:type="character" w:customStyle="1" w:styleId="TekstpodstawowyZnak1">
    <w:name w:val="Tekst podstawowy Znak1"/>
    <w:basedOn w:val="Domylnaczcionkaakapitu"/>
    <w:link w:val="Tekstpodstawowy"/>
    <w:rsid w:val="003F216E"/>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rsid w:val="006C4C70"/>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rsid w:val="00AF4AC9"/>
    <w:rPr>
      <w:rFonts w:cs="Times New Roman"/>
      <w:color w:val="0000FF"/>
      <w:u w:val="single"/>
    </w:rPr>
  </w:style>
  <w:style w:type="paragraph" w:styleId="Poprawka">
    <w:name w:val="Revision"/>
    <w:hidden/>
    <w:uiPriority w:val="99"/>
    <w:semiHidden/>
    <w:rsid w:val="00AF5616"/>
    <w:pPr>
      <w:spacing w:after="0" w:line="240" w:lineRule="auto"/>
    </w:pPr>
  </w:style>
  <w:style w:type="paragraph" w:customStyle="1" w:styleId="CM1">
    <w:name w:val="CM1"/>
    <w:basedOn w:val="Default"/>
    <w:next w:val="Default"/>
    <w:uiPriority w:val="99"/>
    <w:rsid w:val="00C804FC"/>
    <w:rPr>
      <w:rFonts w:ascii="EUAlbertina" w:hAnsi="EUAlbertina" w:cstheme="minorBidi"/>
      <w:color w:val="auto"/>
    </w:rPr>
  </w:style>
  <w:style w:type="paragraph" w:customStyle="1" w:styleId="CM3">
    <w:name w:val="CM3"/>
    <w:basedOn w:val="Default"/>
    <w:next w:val="Default"/>
    <w:uiPriority w:val="99"/>
    <w:rsid w:val="00C804FC"/>
    <w:rPr>
      <w:rFonts w:ascii="EUAlbertina" w:hAnsi="EUAlbertina" w:cstheme="minorBidi"/>
      <w:color w:val="auto"/>
    </w:rPr>
  </w:style>
  <w:style w:type="paragraph" w:customStyle="1" w:styleId="CM4">
    <w:name w:val="CM4"/>
    <w:basedOn w:val="Default"/>
    <w:next w:val="Default"/>
    <w:uiPriority w:val="99"/>
    <w:rsid w:val="00C804FC"/>
    <w:rPr>
      <w:rFonts w:ascii="EUAlbertina" w:hAnsi="EUAlbertina" w:cstheme="minorBidi"/>
      <w:color w:val="auto"/>
    </w:rPr>
  </w:style>
  <w:style w:type="character" w:styleId="UyteHipercze">
    <w:name w:val="FollowedHyperlink"/>
    <w:basedOn w:val="Domylnaczcionkaakapitu"/>
    <w:uiPriority w:val="99"/>
    <w:semiHidden/>
    <w:unhideWhenUsed/>
    <w:rsid w:val="004B55D4"/>
    <w:rPr>
      <w:color w:val="954F72" w:themeColor="followedHyperlink"/>
      <w:u w:val="single"/>
    </w:rPr>
  </w:style>
  <w:style w:type="character" w:customStyle="1" w:styleId="czeinternetowe">
    <w:name w:val="Łącze internetowe"/>
    <w:uiPriority w:val="99"/>
    <w:rsid w:val="00F0350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6506">
      <w:bodyDiv w:val="1"/>
      <w:marLeft w:val="0"/>
      <w:marRight w:val="0"/>
      <w:marTop w:val="0"/>
      <w:marBottom w:val="0"/>
      <w:divBdr>
        <w:top w:val="none" w:sz="0" w:space="0" w:color="auto"/>
        <w:left w:val="none" w:sz="0" w:space="0" w:color="auto"/>
        <w:bottom w:val="none" w:sz="0" w:space="0" w:color="auto"/>
        <w:right w:val="none" w:sz="0" w:space="0" w:color="auto"/>
      </w:divBdr>
    </w:div>
    <w:div w:id="52587352">
      <w:bodyDiv w:val="1"/>
      <w:marLeft w:val="0"/>
      <w:marRight w:val="0"/>
      <w:marTop w:val="0"/>
      <w:marBottom w:val="0"/>
      <w:divBdr>
        <w:top w:val="none" w:sz="0" w:space="0" w:color="auto"/>
        <w:left w:val="none" w:sz="0" w:space="0" w:color="auto"/>
        <w:bottom w:val="none" w:sz="0" w:space="0" w:color="auto"/>
        <w:right w:val="none" w:sz="0" w:space="0" w:color="auto"/>
      </w:divBdr>
    </w:div>
    <w:div w:id="134765085">
      <w:bodyDiv w:val="1"/>
      <w:marLeft w:val="0"/>
      <w:marRight w:val="0"/>
      <w:marTop w:val="0"/>
      <w:marBottom w:val="0"/>
      <w:divBdr>
        <w:top w:val="none" w:sz="0" w:space="0" w:color="auto"/>
        <w:left w:val="none" w:sz="0" w:space="0" w:color="auto"/>
        <w:bottom w:val="none" w:sz="0" w:space="0" w:color="auto"/>
        <w:right w:val="none" w:sz="0" w:space="0" w:color="auto"/>
      </w:divBdr>
    </w:div>
    <w:div w:id="174466667">
      <w:bodyDiv w:val="1"/>
      <w:marLeft w:val="0"/>
      <w:marRight w:val="0"/>
      <w:marTop w:val="0"/>
      <w:marBottom w:val="0"/>
      <w:divBdr>
        <w:top w:val="none" w:sz="0" w:space="0" w:color="auto"/>
        <w:left w:val="none" w:sz="0" w:space="0" w:color="auto"/>
        <w:bottom w:val="none" w:sz="0" w:space="0" w:color="auto"/>
        <w:right w:val="none" w:sz="0" w:space="0" w:color="auto"/>
      </w:divBdr>
    </w:div>
    <w:div w:id="237061663">
      <w:bodyDiv w:val="1"/>
      <w:marLeft w:val="0"/>
      <w:marRight w:val="0"/>
      <w:marTop w:val="0"/>
      <w:marBottom w:val="0"/>
      <w:divBdr>
        <w:top w:val="none" w:sz="0" w:space="0" w:color="auto"/>
        <w:left w:val="none" w:sz="0" w:space="0" w:color="auto"/>
        <w:bottom w:val="none" w:sz="0" w:space="0" w:color="auto"/>
        <w:right w:val="none" w:sz="0" w:space="0" w:color="auto"/>
      </w:divBdr>
    </w:div>
    <w:div w:id="710303864">
      <w:bodyDiv w:val="1"/>
      <w:marLeft w:val="0"/>
      <w:marRight w:val="0"/>
      <w:marTop w:val="0"/>
      <w:marBottom w:val="0"/>
      <w:divBdr>
        <w:top w:val="none" w:sz="0" w:space="0" w:color="auto"/>
        <w:left w:val="none" w:sz="0" w:space="0" w:color="auto"/>
        <w:bottom w:val="none" w:sz="0" w:space="0" w:color="auto"/>
        <w:right w:val="none" w:sz="0" w:space="0" w:color="auto"/>
      </w:divBdr>
    </w:div>
    <w:div w:id="741831673">
      <w:bodyDiv w:val="1"/>
      <w:marLeft w:val="0"/>
      <w:marRight w:val="0"/>
      <w:marTop w:val="0"/>
      <w:marBottom w:val="0"/>
      <w:divBdr>
        <w:top w:val="none" w:sz="0" w:space="0" w:color="auto"/>
        <w:left w:val="none" w:sz="0" w:space="0" w:color="auto"/>
        <w:bottom w:val="none" w:sz="0" w:space="0" w:color="auto"/>
        <w:right w:val="none" w:sz="0" w:space="0" w:color="auto"/>
      </w:divBdr>
    </w:div>
    <w:div w:id="850880188">
      <w:bodyDiv w:val="1"/>
      <w:marLeft w:val="0"/>
      <w:marRight w:val="0"/>
      <w:marTop w:val="0"/>
      <w:marBottom w:val="0"/>
      <w:divBdr>
        <w:top w:val="none" w:sz="0" w:space="0" w:color="auto"/>
        <w:left w:val="none" w:sz="0" w:space="0" w:color="auto"/>
        <w:bottom w:val="none" w:sz="0" w:space="0" w:color="auto"/>
        <w:right w:val="none" w:sz="0" w:space="0" w:color="auto"/>
      </w:divBdr>
    </w:div>
    <w:div w:id="922954748">
      <w:bodyDiv w:val="1"/>
      <w:marLeft w:val="0"/>
      <w:marRight w:val="0"/>
      <w:marTop w:val="0"/>
      <w:marBottom w:val="0"/>
      <w:divBdr>
        <w:top w:val="none" w:sz="0" w:space="0" w:color="auto"/>
        <w:left w:val="none" w:sz="0" w:space="0" w:color="auto"/>
        <w:bottom w:val="none" w:sz="0" w:space="0" w:color="auto"/>
        <w:right w:val="none" w:sz="0" w:space="0" w:color="auto"/>
      </w:divBdr>
    </w:div>
    <w:div w:id="1165559525">
      <w:bodyDiv w:val="1"/>
      <w:marLeft w:val="0"/>
      <w:marRight w:val="0"/>
      <w:marTop w:val="0"/>
      <w:marBottom w:val="0"/>
      <w:divBdr>
        <w:top w:val="none" w:sz="0" w:space="0" w:color="auto"/>
        <w:left w:val="none" w:sz="0" w:space="0" w:color="auto"/>
        <w:bottom w:val="none" w:sz="0" w:space="0" w:color="auto"/>
        <w:right w:val="none" w:sz="0" w:space="0" w:color="auto"/>
      </w:divBdr>
    </w:div>
    <w:div w:id="1367751964">
      <w:bodyDiv w:val="1"/>
      <w:marLeft w:val="0"/>
      <w:marRight w:val="0"/>
      <w:marTop w:val="0"/>
      <w:marBottom w:val="0"/>
      <w:divBdr>
        <w:top w:val="none" w:sz="0" w:space="0" w:color="auto"/>
        <w:left w:val="none" w:sz="0" w:space="0" w:color="auto"/>
        <w:bottom w:val="none" w:sz="0" w:space="0" w:color="auto"/>
        <w:right w:val="none" w:sz="0" w:space="0" w:color="auto"/>
      </w:divBdr>
    </w:div>
    <w:div w:id="1370644960">
      <w:bodyDiv w:val="1"/>
      <w:marLeft w:val="0"/>
      <w:marRight w:val="0"/>
      <w:marTop w:val="0"/>
      <w:marBottom w:val="0"/>
      <w:divBdr>
        <w:top w:val="none" w:sz="0" w:space="0" w:color="auto"/>
        <w:left w:val="none" w:sz="0" w:space="0" w:color="auto"/>
        <w:bottom w:val="none" w:sz="0" w:space="0" w:color="auto"/>
        <w:right w:val="none" w:sz="0" w:space="0" w:color="auto"/>
      </w:divBdr>
    </w:div>
    <w:div w:id="1430811345">
      <w:bodyDiv w:val="1"/>
      <w:marLeft w:val="0"/>
      <w:marRight w:val="0"/>
      <w:marTop w:val="0"/>
      <w:marBottom w:val="0"/>
      <w:divBdr>
        <w:top w:val="none" w:sz="0" w:space="0" w:color="auto"/>
        <w:left w:val="none" w:sz="0" w:space="0" w:color="auto"/>
        <w:bottom w:val="none" w:sz="0" w:space="0" w:color="auto"/>
        <w:right w:val="none" w:sz="0" w:space="0" w:color="auto"/>
      </w:divBdr>
    </w:div>
    <w:div w:id="1565873530">
      <w:bodyDiv w:val="1"/>
      <w:marLeft w:val="0"/>
      <w:marRight w:val="0"/>
      <w:marTop w:val="0"/>
      <w:marBottom w:val="0"/>
      <w:divBdr>
        <w:top w:val="none" w:sz="0" w:space="0" w:color="auto"/>
        <w:left w:val="none" w:sz="0" w:space="0" w:color="auto"/>
        <w:bottom w:val="none" w:sz="0" w:space="0" w:color="auto"/>
        <w:right w:val="none" w:sz="0" w:space="0" w:color="auto"/>
      </w:divBdr>
    </w:div>
    <w:div w:id="16716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Monika_antonowicz\AppData\Local\Microsoft\Windows\Temporary%20Internet%20Files\Content.Outlook\G51DL1X7\www.parp.gov.pl" TargetMode="External"/><Relationship Id="rId4" Type="http://schemas.openxmlformats.org/officeDocument/2006/relationships/styles" Target="styles.xml"/><Relationship Id="rId9" Type="http://schemas.openxmlformats.org/officeDocument/2006/relationships/hyperlink" Target="http://poir.parp.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4F2F-3572-44C3-B065-0D8A8A411940}">
  <ds:schemaRefs>
    <ds:schemaRef ds:uri="http://schemas.openxmlformats.org/officeDocument/2006/bibliography"/>
  </ds:schemaRefs>
</ds:datastoreItem>
</file>

<file path=customXml/itemProps2.xml><?xml version="1.0" encoding="utf-8"?>
<ds:datastoreItem xmlns:ds="http://schemas.openxmlformats.org/officeDocument/2006/customXml" ds:itemID="{18180484-AC0E-4654-862A-EE0C888E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16</Pages>
  <Words>5460</Words>
  <Characters>32765</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38149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Antonowicz Monika</dc:creator>
  <cp:lastModifiedBy>Sudwoj Jan</cp:lastModifiedBy>
  <cp:revision>18</cp:revision>
  <cp:lastPrinted>2018-01-17T09:05:00Z</cp:lastPrinted>
  <dcterms:created xsi:type="dcterms:W3CDTF">2018-01-17T09:12:00Z</dcterms:created>
  <dcterms:modified xsi:type="dcterms:W3CDTF">2018-04-12T12:01:00Z</dcterms:modified>
</cp:coreProperties>
</file>