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10738"/>
      </w:tblGrid>
      <w:tr w:rsidR="00876805" w:rsidRPr="009112DC" w14:paraId="06A99040" w14:textId="77777777" w:rsidTr="00157533">
        <w:tc>
          <w:tcPr>
            <w:tcW w:w="3256" w:type="dxa"/>
            <w:vAlign w:val="center"/>
          </w:tcPr>
          <w:p w14:paraId="20B66500" w14:textId="77777777" w:rsidR="00876805" w:rsidRPr="00010A1F" w:rsidRDefault="00876805" w:rsidP="00010A1F">
            <w:pPr>
              <w:spacing w:after="0" w:line="240" w:lineRule="auto"/>
              <w:rPr>
                <w:rFonts w:ascii="Arial" w:hAnsi="Arial" w:cs="Arial"/>
                <w:b/>
              </w:rPr>
            </w:pPr>
            <w:r w:rsidRPr="00010A1F">
              <w:rPr>
                <w:rFonts w:ascii="Arial" w:hAnsi="Arial" w:cs="Arial"/>
                <w:b/>
              </w:rPr>
              <w:t>Tytuł instrumentu</w:t>
            </w:r>
          </w:p>
        </w:tc>
        <w:tc>
          <w:tcPr>
            <w:tcW w:w="10738" w:type="dxa"/>
            <w:vAlign w:val="center"/>
          </w:tcPr>
          <w:p w14:paraId="104D75B6" w14:textId="08113C83" w:rsidR="00876805" w:rsidRPr="00157533" w:rsidRDefault="00F26DDE" w:rsidP="00010A1F">
            <w:pPr>
              <w:spacing w:after="0" w:line="240" w:lineRule="auto"/>
              <w:rPr>
                <w:rFonts w:ascii="Arial" w:hAnsi="Arial" w:cs="Arial"/>
                <w:b/>
                <w:lang w:val="en-US"/>
              </w:rPr>
            </w:pPr>
            <w:r>
              <w:rPr>
                <w:rFonts w:ascii="Arial" w:hAnsi="Arial" w:cs="Arial"/>
                <w:b/>
                <w:lang w:val="en-US"/>
              </w:rPr>
              <w:t>P</w:t>
            </w:r>
            <w:r w:rsidR="008A5A75">
              <w:rPr>
                <w:rFonts w:ascii="Arial" w:hAnsi="Arial" w:cs="Arial"/>
                <w:b/>
                <w:lang w:val="en-US"/>
              </w:rPr>
              <w:t>ilotaż Granty dla “Seal of Excelllence”</w:t>
            </w:r>
          </w:p>
        </w:tc>
      </w:tr>
      <w:tr w:rsidR="00876805" w:rsidRPr="00010A1F" w14:paraId="135E5AA8" w14:textId="77777777" w:rsidTr="00157533">
        <w:tc>
          <w:tcPr>
            <w:tcW w:w="3256" w:type="dxa"/>
            <w:vAlign w:val="center"/>
          </w:tcPr>
          <w:p w14:paraId="320FA584" w14:textId="77777777" w:rsidR="00876805" w:rsidRPr="00010A1F" w:rsidRDefault="00876805" w:rsidP="00A703EB">
            <w:pPr>
              <w:spacing w:after="0" w:line="240" w:lineRule="auto"/>
              <w:rPr>
                <w:rFonts w:ascii="Arial" w:hAnsi="Arial" w:cs="Arial"/>
                <w:b/>
              </w:rPr>
            </w:pPr>
            <w:r w:rsidRPr="00010A1F">
              <w:rPr>
                <w:rFonts w:ascii="Arial" w:hAnsi="Arial" w:cs="Arial"/>
                <w:b/>
              </w:rPr>
              <w:t xml:space="preserve">Opis instrumentu </w:t>
            </w:r>
          </w:p>
        </w:tc>
        <w:tc>
          <w:tcPr>
            <w:tcW w:w="10738" w:type="dxa"/>
            <w:vAlign w:val="center"/>
          </w:tcPr>
          <w:p w14:paraId="1D4D909F" w14:textId="77777777" w:rsidR="002D53D5" w:rsidRPr="00021264" w:rsidRDefault="002D53D5" w:rsidP="002D53D5">
            <w:pPr>
              <w:pStyle w:val="NormalnyWeb"/>
              <w:spacing w:before="120" w:beforeAutospacing="0" w:after="120" w:afterAutospacing="0" w:line="276" w:lineRule="auto"/>
              <w:jc w:val="both"/>
              <w:rPr>
                <w:rFonts w:asciiTheme="minorHAnsi" w:hAnsiTheme="minorHAnsi"/>
                <w:sz w:val="22"/>
                <w:szCs w:val="22"/>
              </w:rPr>
            </w:pPr>
            <w:r w:rsidRPr="00021264">
              <w:rPr>
                <w:rFonts w:asciiTheme="minorHAnsi" w:hAnsiTheme="minorHAnsi"/>
                <w:sz w:val="22"/>
                <w:szCs w:val="22"/>
              </w:rPr>
              <w:t xml:space="preserve">Projekty, które w konkursie na granty w ramach </w:t>
            </w:r>
            <w:r w:rsidRPr="00021264">
              <w:rPr>
                <w:rFonts w:asciiTheme="minorHAnsi" w:hAnsiTheme="minorHAnsi"/>
                <w:i/>
                <w:sz w:val="22"/>
                <w:szCs w:val="22"/>
              </w:rPr>
              <w:t>Small and Medium-sized Enterprise Instrument</w:t>
            </w:r>
            <w:r w:rsidRPr="00021264">
              <w:rPr>
                <w:rFonts w:asciiTheme="minorHAnsi" w:hAnsiTheme="minorHAnsi"/>
                <w:sz w:val="22"/>
                <w:szCs w:val="22"/>
              </w:rPr>
              <w:t xml:space="preserve"> (SMEI) w Horizon 2020 (H2020) zostały bardzo wysoko ocenione i osiągnęły próg punktów wymagany do uzyskania dofinansowania, ale nie uzyskały dofinansowania ze względu na ograniczony budżet konkursu, otrzymują od Komisji Europejskiej (KE) tzw. </w:t>
            </w:r>
            <w:r w:rsidRPr="00021264">
              <w:rPr>
                <w:rFonts w:asciiTheme="minorHAnsi" w:hAnsiTheme="minorHAnsi"/>
                <w:i/>
                <w:sz w:val="22"/>
                <w:szCs w:val="22"/>
              </w:rPr>
              <w:t>Seal of Excellence</w:t>
            </w:r>
            <w:r w:rsidRPr="00021264">
              <w:rPr>
                <w:rFonts w:asciiTheme="minorHAnsi" w:hAnsiTheme="minorHAnsi"/>
                <w:sz w:val="22"/>
                <w:szCs w:val="22"/>
              </w:rPr>
              <w:t xml:space="preserve"> (pieczęć doskonałości). </w:t>
            </w:r>
            <w:r w:rsidRPr="00021264">
              <w:rPr>
                <w:rFonts w:asciiTheme="minorHAnsi" w:hAnsiTheme="minorHAnsi"/>
                <w:i/>
                <w:sz w:val="22"/>
                <w:szCs w:val="22"/>
              </w:rPr>
              <w:t>Seal of Excellence</w:t>
            </w:r>
            <w:r w:rsidRPr="00021264">
              <w:rPr>
                <w:rFonts w:asciiTheme="minorHAnsi" w:hAnsiTheme="minorHAnsi"/>
                <w:sz w:val="22"/>
                <w:szCs w:val="22"/>
              </w:rPr>
              <w:t xml:space="preserve"> jest pewnego rodzaju znakiem jakości identyfikującym obiecujące propozycje projektów, które zasługują na finansowanie z innych źródeł (publicznych lub prywatnych).</w:t>
            </w:r>
            <w:r w:rsidR="00A703EB">
              <w:rPr>
                <w:rFonts w:asciiTheme="minorHAnsi" w:hAnsiTheme="minorHAnsi"/>
                <w:sz w:val="22"/>
                <w:szCs w:val="22"/>
              </w:rPr>
              <w:t xml:space="preserve"> </w:t>
            </w:r>
          </w:p>
          <w:p w14:paraId="43B1EB2B" w14:textId="57572551" w:rsidR="008F2E48" w:rsidRPr="00A703EB" w:rsidRDefault="00435775" w:rsidP="00A703EB">
            <w:pPr>
              <w:spacing w:before="120" w:after="0"/>
              <w:jc w:val="both"/>
            </w:pPr>
            <w:r>
              <w:t>Grantobiorcami</w:t>
            </w:r>
            <w:r w:rsidRPr="00021264">
              <w:t xml:space="preserve"> </w:t>
            </w:r>
            <w:r w:rsidR="002D53D5" w:rsidRPr="00021264">
              <w:t>instrumentu są przedsiębiorstwa</w:t>
            </w:r>
            <w:r w:rsidR="00F26DDE">
              <w:t>, których projekty uzyskały</w:t>
            </w:r>
            <w:r w:rsidR="002D53D5" w:rsidRPr="00021264">
              <w:t xml:space="preserve"> certyfikat </w:t>
            </w:r>
            <w:r w:rsidR="002D53D5" w:rsidRPr="00021264">
              <w:rPr>
                <w:i/>
              </w:rPr>
              <w:t>Seal of Excellence</w:t>
            </w:r>
            <w:r w:rsidR="002D53D5" w:rsidRPr="00021264">
              <w:t xml:space="preserve"> w SMEI H2020, Faza I, pod warunkiem, że nie otrzymały ze środków publicznych dofinansowania na projekt, którego dotyczy certyfikat ani nie składały wniosku do Fazy II SMEI</w:t>
            </w:r>
            <w:r w:rsidR="00F26DDE">
              <w:t xml:space="preserve"> </w:t>
            </w:r>
            <w:r w:rsidR="00F26DDE" w:rsidRPr="00021264">
              <w:t>na ten projekt</w:t>
            </w:r>
            <w:r w:rsidR="002D53D5" w:rsidRPr="00021264">
              <w:t xml:space="preserve">. </w:t>
            </w:r>
            <w:r w:rsidR="008F2E48" w:rsidRPr="00021264">
              <w:rPr>
                <w:rFonts w:cs="Arial"/>
              </w:rPr>
              <w:t xml:space="preserve">Przedmiotem wsparcia będzie dofinansowanie działań mających na celu zweryfikowanie potencjału technicznego i komercyjnego produktu/usługi/technologii oraz opracowanie studium wykonalności. </w:t>
            </w:r>
          </w:p>
          <w:p w14:paraId="1B97AE6F" w14:textId="77777777" w:rsidR="008F2E48" w:rsidRPr="00021264" w:rsidRDefault="008F2E48" w:rsidP="008F2E48">
            <w:pPr>
              <w:spacing w:before="120"/>
              <w:jc w:val="both"/>
              <w:rPr>
                <w:rFonts w:cs="Arial"/>
              </w:rPr>
            </w:pPr>
            <w:r w:rsidRPr="00021264">
              <w:rPr>
                <w:rFonts w:cs="Arial"/>
              </w:rPr>
              <w:t>Studium wykonalności jest rozumiane zgodnie z Art. 2(87) GBER</w:t>
            </w:r>
            <w:r w:rsidRPr="00021264">
              <w:rPr>
                <w:rStyle w:val="Odwoanieprzypisudolnego"/>
                <w:rFonts w:cs="Arial"/>
              </w:rPr>
              <w:footnoteReference w:id="2"/>
            </w:r>
            <w:r w:rsidRPr="00021264">
              <w:rPr>
                <w:rFonts w:cs="Arial"/>
              </w:rPr>
              <w:t xml:space="preserve">, tj. jako </w:t>
            </w:r>
            <w:r w:rsidRPr="00021264">
              <w:rPr>
                <w:rFonts w:cs="Arial"/>
                <w:i/>
              </w:rPr>
              <w:t>„ocena i analiza potencjału projektu, która ma na celu wsparcie procesu decyzyjnego poprzez obiektywne i racjonalne zidentyfikowanie jego silnych i słabych stron oraz szans i zagrożeń, jak również zidentyfikowanie zasobów niezbędnych do jego realizacji, a ostatecznie jego perspektyw na sukces”</w:t>
            </w:r>
            <w:r w:rsidRPr="00021264">
              <w:rPr>
                <w:rFonts w:cs="Arial"/>
              </w:rPr>
              <w:t xml:space="preserve">. </w:t>
            </w:r>
          </w:p>
          <w:p w14:paraId="250B9BB0" w14:textId="3C5DE65A" w:rsidR="008F2E48" w:rsidRPr="00021264" w:rsidRDefault="008F2E48" w:rsidP="008F2E48">
            <w:pPr>
              <w:spacing w:before="120"/>
              <w:jc w:val="both"/>
              <w:rPr>
                <w:rFonts w:cs="Arial"/>
              </w:rPr>
            </w:pPr>
            <w:r w:rsidRPr="00021264">
              <w:rPr>
                <w:rFonts w:cs="Arial"/>
              </w:rPr>
              <w:t xml:space="preserve">Działania, które może zrealizować </w:t>
            </w:r>
            <w:r w:rsidR="00CA35B7">
              <w:rPr>
                <w:rFonts w:cs="Arial"/>
              </w:rPr>
              <w:t>grantobiorca</w:t>
            </w:r>
            <w:r w:rsidR="00CA35B7" w:rsidRPr="00021264">
              <w:rPr>
                <w:rFonts w:cs="Arial"/>
              </w:rPr>
              <w:t xml:space="preserve"> </w:t>
            </w:r>
            <w:r w:rsidRPr="00021264">
              <w:rPr>
                <w:rFonts w:cs="Arial"/>
              </w:rPr>
              <w:t xml:space="preserve">w celu zweryfikowania wykonalności pomysłu w ramach studium wykonalności mogą obejmować np. szacowanie ryzyka, badanie rynku, badanie użytkowników, zarządzanie własnością intelektualną, opracowanie strategii innowacji, poszukiwanie partnerów, itd. Działania te mają na celu przygotowanie solidnych podstaw projektu innowacyjnego, spójnego ze strategią firmy i posiadającego wymiar europejski, w tym zidentyfikowanie i przeanalizowanie wąskich gardeł na drodze do zwiększenia rentowności firmy poprzez innowacje. </w:t>
            </w:r>
          </w:p>
          <w:p w14:paraId="49606DBA" w14:textId="795ADE3D" w:rsidR="00876805" w:rsidRPr="00C53210" w:rsidRDefault="008F2E48">
            <w:pPr>
              <w:spacing w:before="120"/>
              <w:jc w:val="both"/>
              <w:rPr>
                <w:rFonts w:ascii="Arial" w:hAnsi="Arial" w:cs="Arial"/>
              </w:rPr>
            </w:pPr>
            <w:r w:rsidRPr="00021264">
              <w:rPr>
                <w:rFonts w:cs="Arial"/>
              </w:rPr>
              <w:t xml:space="preserve">Produktem, który powstanie w wyniku realizacji zaplanowanych działań, będzie studium wykonalności, zawierające strategiczny biznes plan, który będzie wyznaczał kolejne kroki (techniczne, organizacyjne, finansowe, prawne) na drodze do wdrożenia projektu innowacyjnego. Studium wykonalności zostanie wykorzystane przez </w:t>
            </w:r>
            <w:r w:rsidR="00CA35B7">
              <w:rPr>
                <w:rFonts w:cs="Arial"/>
              </w:rPr>
              <w:t>grantobiorcę</w:t>
            </w:r>
            <w:r w:rsidR="00CA35B7" w:rsidRPr="00021264">
              <w:rPr>
                <w:rFonts w:cs="Arial"/>
              </w:rPr>
              <w:t xml:space="preserve"> </w:t>
            </w:r>
            <w:r w:rsidRPr="00021264">
              <w:rPr>
                <w:rFonts w:cs="Arial"/>
              </w:rPr>
              <w:t xml:space="preserve">dla celów weryfikacji założeń oraz przygotowania projektu do jego dalszej realizacji, w tym do pozyskania </w:t>
            </w:r>
            <w:r w:rsidRPr="00021264">
              <w:rPr>
                <w:rFonts w:cs="Arial"/>
              </w:rPr>
              <w:lastRenderedPageBreak/>
              <w:t xml:space="preserve">finansowania proponowanej innowacji (np. aplikowanie o wsparcie publiczne – w tym do Fazy II SMEI, poszukiwanie inwestorów, ubieganie się o kredyt itd.). </w:t>
            </w:r>
            <w:bookmarkStart w:id="0" w:name="PP_3846189_12_38"/>
            <w:bookmarkStart w:id="1" w:name="PP_3846189_12_39"/>
            <w:bookmarkEnd w:id="0"/>
            <w:bookmarkEnd w:id="1"/>
          </w:p>
        </w:tc>
      </w:tr>
      <w:tr w:rsidR="00876805" w:rsidRPr="00010A1F" w14:paraId="5257A48F" w14:textId="77777777" w:rsidTr="00157533">
        <w:tc>
          <w:tcPr>
            <w:tcW w:w="3256" w:type="dxa"/>
            <w:vAlign w:val="center"/>
          </w:tcPr>
          <w:p w14:paraId="25C88998" w14:textId="77777777" w:rsidR="00A703EB" w:rsidRPr="00010A1F" w:rsidRDefault="00876805" w:rsidP="00A703EB">
            <w:pPr>
              <w:spacing w:after="0" w:line="240" w:lineRule="auto"/>
              <w:rPr>
                <w:rFonts w:ascii="Arial" w:hAnsi="Arial" w:cs="Arial"/>
                <w:b/>
              </w:rPr>
            </w:pPr>
            <w:r w:rsidRPr="00010A1F">
              <w:rPr>
                <w:rFonts w:ascii="Arial" w:hAnsi="Arial" w:cs="Arial"/>
                <w:b/>
              </w:rPr>
              <w:lastRenderedPageBreak/>
              <w:t>Uzasadnienie</w:t>
            </w:r>
          </w:p>
          <w:p w14:paraId="1953464A" w14:textId="77777777" w:rsidR="00876805" w:rsidRPr="00010A1F" w:rsidRDefault="00876805" w:rsidP="00010A1F">
            <w:pPr>
              <w:spacing w:after="0" w:line="240" w:lineRule="auto"/>
              <w:rPr>
                <w:rFonts w:ascii="Arial" w:hAnsi="Arial" w:cs="Arial"/>
                <w:b/>
              </w:rPr>
            </w:pPr>
          </w:p>
        </w:tc>
        <w:tc>
          <w:tcPr>
            <w:tcW w:w="10738" w:type="dxa"/>
            <w:vAlign w:val="center"/>
          </w:tcPr>
          <w:p w14:paraId="2ABC55F5" w14:textId="77777777" w:rsidR="0035735B" w:rsidRPr="00700F17" w:rsidRDefault="0035735B" w:rsidP="00700F17">
            <w:pPr>
              <w:jc w:val="both"/>
            </w:pPr>
            <w:r w:rsidRPr="00700F17">
              <w:rPr>
                <w:rFonts w:eastAsia="Times New Roman"/>
                <w:lang w:eastAsia="pl-PL"/>
              </w:rPr>
              <w:t xml:space="preserve">Bardzo duże zainteresowanie firm instrumentem </w:t>
            </w:r>
            <w:r w:rsidR="00A703EB" w:rsidRPr="00700F17">
              <w:rPr>
                <w:rFonts w:eastAsia="Times New Roman"/>
                <w:lang w:eastAsia="pl-PL"/>
              </w:rPr>
              <w:t xml:space="preserve">SMEI </w:t>
            </w:r>
            <w:r w:rsidRPr="00700F17">
              <w:rPr>
                <w:rFonts w:eastAsia="Times New Roman"/>
                <w:lang w:eastAsia="pl-PL"/>
              </w:rPr>
              <w:t xml:space="preserve">sprawia, że tylko niewielki odsetek projektów otrzymuje dofinansowanie, co oznacza, że szereg wysoko ocenionych, wartościowych projektów może nie zostać zrealizowanych z powodu braku środków. Z tego względu, w poszukiwaniu synergii pomiędzy H2020 i innymi źródłami finansowania (w szczególności European Structural and Investment Funds – ESIF), KE postanowiła nadawać „znak jakości” projektom, które nie otrzymały dofinansowania, chociaż zostały bardzo wysoko ocenione przez niezależnych ekspertów i uzyskały wymaganą liczbę punktów. Seal of Excellence może ułatwić firmie pozyskanie dofinansowania z innego źródła, ponieważ potwierdza wysoką jakość projektu. </w:t>
            </w:r>
          </w:p>
          <w:p w14:paraId="163A6003" w14:textId="51DB76FF" w:rsidR="002D53D5" w:rsidRPr="00700F17" w:rsidRDefault="002D53D5" w:rsidP="00700F17">
            <w:pPr>
              <w:jc w:val="both"/>
              <w:rPr>
                <w:rFonts w:eastAsia="Times New Roman"/>
                <w:lang w:eastAsia="pl-PL"/>
              </w:rPr>
            </w:pPr>
            <w:r w:rsidRPr="00700F17">
              <w:rPr>
                <w:rFonts w:eastAsia="Times New Roman"/>
                <w:lang w:eastAsia="pl-PL"/>
              </w:rPr>
              <w:t>Dotychczasowe dane wskazują na niski udział polskich przedsiębiorstw w programach ramowych UE, dlatego konieczne jest zwiększenie zainteresowania polskich firm udziałem w projektach składanych do H2020. Istotne jest, aby alternatywne źródła finansowania nie zastępowały środków z H2020, ale stanowiły ich uzupełnienie. Wiąże się to z wyborem pomiędzy opcją wspierania wszystkich firm, które potencjalnie mogą być uczestnikami programów międzynarodowych, a wspieraniem wyselekcjonowanych, najlepiej rokujących podmiotów, co oznacza większą koncentrację na tych ostatnich i zwiększenie ich efektywności</w:t>
            </w:r>
            <w:r w:rsidR="00700F17">
              <w:rPr>
                <w:rFonts w:eastAsia="Times New Roman"/>
                <w:lang w:eastAsia="pl-PL"/>
              </w:rPr>
              <w:t>,</w:t>
            </w:r>
            <w:r w:rsidRPr="00700F17">
              <w:rPr>
                <w:rFonts w:eastAsia="Times New Roman"/>
                <w:lang w:eastAsia="pl-PL"/>
              </w:rPr>
              <w:t xml:space="preserve"> jeśli chodzi o kwoty czy liczbę złożonych wniosków, kosztem działań zmierzających do większej partycypacji innych podmiotów.</w:t>
            </w:r>
          </w:p>
          <w:p w14:paraId="58821BEB" w14:textId="77777777" w:rsidR="00021264" w:rsidRPr="00F26DDE" w:rsidRDefault="00021264">
            <w:pPr>
              <w:jc w:val="both"/>
              <w:rPr>
                <w:rFonts w:eastAsia="Times New Roman"/>
                <w:lang w:eastAsia="pl-PL"/>
              </w:rPr>
            </w:pPr>
            <w:r w:rsidRPr="00700F17">
              <w:rPr>
                <w:rFonts w:eastAsia="Times New Roman"/>
                <w:lang w:eastAsia="pl-PL"/>
              </w:rPr>
              <w:t>Instrument wpisuje się w cele Strategii na rzecz Odpowiedzialnego Rozwoju</w:t>
            </w:r>
            <w:r w:rsidRPr="00700F17">
              <w:t xml:space="preserve">, opracowanej na podstawie </w:t>
            </w:r>
            <w:r w:rsidRPr="00700F17">
              <w:rPr>
                <w:rFonts w:eastAsia="Times New Roman"/>
                <w:lang w:eastAsia="pl-PL"/>
              </w:rPr>
              <w:t xml:space="preserve">Planu na rzecz odpowiedzialnego rozwoju, zgodnie z którą zwiększenie </w:t>
            </w:r>
            <w:r w:rsidRPr="00F26DDE">
              <w:rPr>
                <w:rFonts w:eastAsia="Times New Roman"/>
                <w:lang w:eastAsia="pl-PL"/>
              </w:rPr>
              <w:t xml:space="preserve">innowacyjności polskich przedsiębiorstw jest niezbędne dla zaistnienia pozytywnych zmian strukturalnych w gospodarce oraz stanowi warunek przesuwania się polskich firm w globalnych łańcuchach wartości w kierunku zadań o większej wartości dodanej. </w:t>
            </w:r>
            <w:r w:rsidRPr="00700F17">
              <w:rPr>
                <w:rFonts w:eastAsia="Times New Roman"/>
                <w:lang w:eastAsia="pl-PL"/>
              </w:rPr>
              <w:t xml:space="preserve">Wśród planowanych kierunków interwencji w Strategii wymienia się m.in. </w:t>
            </w:r>
            <w:r w:rsidRPr="00F26DDE">
              <w:rPr>
                <w:rFonts w:eastAsia="Times New Roman"/>
                <w:lang w:eastAsia="pl-PL"/>
              </w:rPr>
              <w:t>zwiększenie potencjału rynkowego prowadzonych badań oraz stopnia komercjalizacji wyników prac B+R (w tym m.in. przedsięwzięcia na rzecz zwiększenia potencjału rynkowego badań i udrożnienia systemu komercjalizacji wyników prac B+R). Wśród działań postuluje się m.in. zwiększenie dostępności do finansowania badań etapu weryfikacji koncepcji (</w:t>
            </w:r>
            <w:r w:rsidRPr="00700F17">
              <w:rPr>
                <w:rFonts w:eastAsia="Times New Roman"/>
                <w:i/>
                <w:lang w:eastAsia="pl-PL"/>
              </w:rPr>
              <w:t>proof of conce</w:t>
            </w:r>
            <w:r w:rsidRPr="00700F17">
              <w:rPr>
                <w:rFonts w:eastAsia="Times New Roman"/>
                <w:lang w:eastAsia="pl-PL"/>
              </w:rPr>
              <w:t>pt)</w:t>
            </w:r>
            <w:r w:rsidRPr="00036BF3">
              <w:rPr>
                <w:rFonts w:eastAsia="Times New Roman"/>
                <w:lang w:eastAsia="pl-PL"/>
              </w:rPr>
              <w:t>. Przewiduje się działania dotyczące mechanizmów tworzenia i wdrażania innowacji, przy szczególnym uwzględnieniu działań ułatwiających dostęp przedsiębiorstw do instrumentów finansowania ich rozwoju, w tym specyficznych potrzeb wynikających ze skali dz</w:t>
            </w:r>
            <w:r w:rsidRPr="00F26DDE">
              <w:rPr>
                <w:rFonts w:eastAsia="Times New Roman"/>
                <w:lang w:eastAsia="pl-PL"/>
              </w:rPr>
              <w:t xml:space="preserve">iałania bądź etapu życia danego podmiotu. Wśród działań wymienia się inwestycje w małe i średnie przedsiębiorstwa (MSP) związane z wdrażaniem wyników prac badawczo-rozwojowych, a w szczególności w MSP o wysokim potencjale innowacyjnym. </w:t>
            </w:r>
          </w:p>
          <w:p w14:paraId="1275F57E" w14:textId="6E7AF436" w:rsidR="00876805" w:rsidRPr="00700F17" w:rsidRDefault="00021264">
            <w:pPr>
              <w:jc w:val="both"/>
              <w:rPr>
                <w:rFonts w:eastAsia="Times New Roman"/>
                <w:lang w:eastAsia="pl-PL"/>
              </w:rPr>
            </w:pPr>
            <w:r w:rsidRPr="00700F17">
              <w:rPr>
                <w:rFonts w:eastAsia="Times New Roman"/>
                <w:lang w:eastAsia="pl-PL"/>
              </w:rPr>
              <w:lastRenderedPageBreak/>
              <w:t>Instrument wpisuje się również w Strategię Europa 2020 (Strategia na rzecz inteligentnego i zrównoważonego rozwoju sprzyjającego włączeniu społecznemu)</w:t>
            </w:r>
            <w:r w:rsidRPr="00036BF3">
              <w:rPr>
                <w:rFonts w:eastAsia="Times New Roman"/>
                <w:lang w:eastAsia="pl-PL"/>
              </w:rPr>
              <w:t>, która jest długookresowym programem rozwoju społeczno-gospodarczego Unii Europejskiej na lata 2010-2020. Jeden z projektów</w:t>
            </w:r>
            <w:r w:rsidRPr="00F26DDE">
              <w:rPr>
                <w:rFonts w:eastAsia="Times New Roman"/>
                <w:lang w:eastAsia="pl-PL"/>
              </w:rPr>
              <w:t xml:space="preserve"> przewodnich Strategii – </w:t>
            </w:r>
            <w:r w:rsidRPr="00700F17">
              <w:rPr>
                <w:rFonts w:eastAsia="Times New Roman"/>
                <w:lang w:eastAsia="pl-PL"/>
              </w:rPr>
              <w:t>Unia Innowac</w:t>
            </w:r>
            <w:r w:rsidRPr="00B10B11">
              <w:rPr>
                <w:rFonts w:eastAsia="Times New Roman"/>
                <w:lang w:eastAsia="pl-PL"/>
              </w:rPr>
              <w:t xml:space="preserve">ji </w:t>
            </w:r>
            <w:r>
              <w:rPr>
                <w:rFonts w:eastAsia="Times New Roman"/>
                <w:lang w:eastAsia="pl-PL"/>
              </w:rPr>
              <w:t>–</w:t>
            </w:r>
            <w:r w:rsidRPr="00B10B11">
              <w:rPr>
                <w:rFonts w:eastAsia="Times New Roman"/>
                <w:lang w:eastAsia="pl-PL"/>
              </w:rPr>
              <w:t xml:space="preserve"> zakłada ciągłe wzmacnianie roli instrumentów UE mających wspierać innowacje (w tym funduszy strukturalnych i badawczo-rozwojowych programów ramowych) oraz wzmocnienie współpracy w obszarach, gdzie UE może zaoferować wartość dodaną i odpowiednie dostosowanie krajowych procedur finansowania tak</w:t>
            </w:r>
            <w:r w:rsidR="00700F17">
              <w:rPr>
                <w:rFonts w:eastAsia="Times New Roman"/>
                <w:lang w:eastAsia="pl-PL"/>
              </w:rPr>
              <w:t>,</w:t>
            </w:r>
            <w:r w:rsidRPr="00B10B11">
              <w:rPr>
                <w:rFonts w:eastAsia="Times New Roman"/>
                <w:lang w:eastAsia="pl-PL"/>
              </w:rPr>
              <w:t xml:space="preserve"> aby zapewnić rozprzestrzenianie się technologii na całe terytorium UE.</w:t>
            </w:r>
            <w:r w:rsidRPr="007366BB">
              <w:rPr>
                <w:rFonts w:eastAsia="Times New Roman"/>
                <w:lang w:eastAsia="pl-PL"/>
              </w:rPr>
              <w:t xml:space="preserve"> </w:t>
            </w:r>
          </w:p>
        </w:tc>
      </w:tr>
      <w:tr w:rsidR="00876805" w:rsidRPr="00010A1F" w14:paraId="2BF50194" w14:textId="77777777" w:rsidTr="00157533">
        <w:trPr>
          <w:trHeight w:val="700"/>
        </w:trPr>
        <w:tc>
          <w:tcPr>
            <w:tcW w:w="3256" w:type="dxa"/>
            <w:vAlign w:val="center"/>
          </w:tcPr>
          <w:p w14:paraId="0750EE39" w14:textId="2E0CB84E" w:rsidR="00876805" w:rsidRPr="00010A1F" w:rsidRDefault="00977EB8" w:rsidP="00010A1F">
            <w:pPr>
              <w:spacing w:after="0" w:line="240" w:lineRule="auto"/>
              <w:rPr>
                <w:rFonts w:ascii="Arial" w:hAnsi="Arial" w:cs="Arial"/>
                <w:b/>
              </w:rPr>
            </w:pPr>
            <w:r>
              <w:rPr>
                <w:rFonts w:ascii="Arial" w:hAnsi="Arial" w:cs="Arial"/>
                <w:b/>
              </w:rPr>
              <w:lastRenderedPageBreak/>
              <w:t>Grantobiorcy</w:t>
            </w:r>
          </w:p>
        </w:tc>
        <w:tc>
          <w:tcPr>
            <w:tcW w:w="10738" w:type="dxa"/>
            <w:vAlign w:val="center"/>
          </w:tcPr>
          <w:p w14:paraId="102FAD42" w14:textId="77777777" w:rsidR="006F5FDE" w:rsidRDefault="006F5FDE" w:rsidP="00700F17">
            <w:pPr>
              <w:rPr>
                <w:rFonts w:eastAsia="Times New Roman"/>
                <w:lang w:eastAsia="pl-PL"/>
              </w:rPr>
            </w:pPr>
          </w:p>
          <w:p w14:paraId="46CFC63E" w14:textId="6F4FDF83" w:rsidR="00876805" w:rsidRPr="00700F17" w:rsidRDefault="00876805" w:rsidP="00700F17">
            <w:pPr>
              <w:rPr>
                <w:rFonts w:eastAsia="Times New Roman"/>
                <w:lang w:eastAsia="pl-PL"/>
              </w:rPr>
            </w:pPr>
            <w:r w:rsidRPr="00700F17">
              <w:rPr>
                <w:rFonts w:eastAsia="Times New Roman"/>
                <w:lang w:eastAsia="pl-PL"/>
              </w:rPr>
              <w:t>Mikro, mali i średni przedsiębiorcy</w:t>
            </w:r>
            <w:r w:rsidR="00435775" w:rsidRPr="00700F17">
              <w:rPr>
                <w:rFonts w:eastAsia="Times New Roman"/>
                <w:lang w:eastAsia="pl-PL"/>
              </w:rPr>
              <w:t xml:space="preserve"> - przedsiębiorstwa posiadające certyfikat Seal of Excellence </w:t>
            </w:r>
            <w:r w:rsidR="00700F17">
              <w:rPr>
                <w:rFonts w:eastAsia="Times New Roman"/>
                <w:lang w:eastAsia="pl-PL"/>
              </w:rPr>
              <w:t xml:space="preserve">dla projektu złożonego </w:t>
            </w:r>
            <w:r w:rsidR="00435775" w:rsidRPr="00700F17">
              <w:rPr>
                <w:rFonts w:eastAsia="Times New Roman"/>
                <w:lang w:eastAsia="pl-PL"/>
              </w:rPr>
              <w:t>w SMEI H2020, Faza I, pod warunkiem, że nie otrzymały ze środków publicznych dofinansowania na projekt, którego dotyczy certyfikat ani nie składały na ten projekt wniosku do Fazy II SMEI.</w:t>
            </w:r>
          </w:p>
        </w:tc>
      </w:tr>
      <w:tr w:rsidR="00876805" w:rsidRPr="00010A1F" w14:paraId="44301212" w14:textId="77777777" w:rsidTr="00157533">
        <w:tc>
          <w:tcPr>
            <w:tcW w:w="3256" w:type="dxa"/>
            <w:vAlign w:val="center"/>
          </w:tcPr>
          <w:p w14:paraId="714A686C" w14:textId="77777777" w:rsidR="00876805" w:rsidRPr="00010A1F" w:rsidRDefault="00876805" w:rsidP="00010A1F">
            <w:pPr>
              <w:spacing w:after="0" w:line="240" w:lineRule="auto"/>
              <w:rPr>
                <w:rFonts w:ascii="Arial" w:hAnsi="Arial" w:cs="Arial"/>
                <w:b/>
              </w:rPr>
            </w:pPr>
            <w:r w:rsidRPr="00010A1F">
              <w:rPr>
                <w:rFonts w:ascii="Arial" w:hAnsi="Arial" w:cs="Arial"/>
                <w:b/>
              </w:rPr>
              <w:t xml:space="preserve">Koszty </w:t>
            </w:r>
            <w:r w:rsidR="00916F15" w:rsidRPr="00010A1F">
              <w:rPr>
                <w:rFonts w:ascii="Arial" w:hAnsi="Arial" w:cs="Arial"/>
                <w:b/>
              </w:rPr>
              <w:t>kwal</w:t>
            </w:r>
            <w:r w:rsidR="00916F15">
              <w:rPr>
                <w:rFonts w:ascii="Arial" w:hAnsi="Arial" w:cs="Arial"/>
                <w:b/>
              </w:rPr>
              <w:t>i</w:t>
            </w:r>
            <w:r w:rsidR="00916F15" w:rsidRPr="00010A1F">
              <w:rPr>
                <w:rFonts w:ascii="Arial" w:hAnsi="Arial" w:cs="Arial"/>
                <w:b/>
              </w:rPr>
              <w:t>fikowane</w:t>
            </w:r>
          </w:p>
        </w:tc>
        <w:tc>
          <w:tcPr>
            <w:tcW w:w="10738" w:type="dxa"/>
            <w:vAlign w:val="center"/>
          </w:tcPr>
          <w:p w14:paraId="4E94F962" w14:textId="77777777" w:rsidR="00876805" w:rsidRPr="00916F15" w:rsidRDefault="00916F15" w:rsidP="00021264">
            <w:pPr>
              <w:spacing w:before="120"/>
              <w:jc w:val="both"/>
              <w:rPr>
                <w:rFonts w:ascii="Arial" w:hAnsi="Arial" w:cs="Arial"/>
              </w:rPr>
            </w:pPr>
            <w:r>
              <w:t>G</w:t>
            </w:r>
            <w:r w:rsidRPr="00D45D55">
              <w:t xml:space="preserve">rant </w:t>
            </w:r>
            <w:r>
              <w:t>będzie</w:t>
            </w:r>
            <w:r w:rsidRPr="00D45D55">
              <w:t xml:space="preserve"> rozliczony na podstawie kwoty ryczałtowej</w:t>
            </w:r>
            <w:r>
              <w:t>, dlatego nie ma zastosowania wskazywanie szczegółowego katalogu kosztów kwalifikowanych</w:t>
            </w:r>
            <w:r w:rsidRPr="00D45D55">
              <w:t xml:space="preserve">. </w:t>
            </w:r>
          </w:p>
        </w:tc>
      </w:tr>
      <w:tr w:rsidR="00876805" w:rsidRPr="00010A1F" w14:paraId="79014456" w14:textId="77777777" w:rsidTr="00157533">
        <w:tc>
          <w:tcPr>
            <w:tcW w:w="3256" w:type="dxa"/>
            <w:vAlign w:val="center"/>
          </w:tcPr>
          <w:p w14:paraId="033224D8" w14:textId="3D1C0B1C" w:rsidR="00876805" w:rsidRPr="00010A1F" w:rsidRDefault="00DE119C" w:rsidP="00DE119C">
            <w:pPr>
              <w:spacing w:after="0" w:line="240" w:lineRule="auto"/>
              <w:rPr>
                <w:rFonts w:ascii="Arial" w:hAnsi="Arial" w:cs="Arial"/>
                <w:b/>
              </w:rPr>
            </w:pPr>
            <w:r w:rsidRPr="00010A1F">
              <w:rPr>
                <w:rFonts w:ascii="Arial" w:hAnsi="Arial" w:cs="Arial"/>
                <w:b/>
              </w:rPr>
              <w:t>Forma finansowania</w:t>
            </w:r>
            <w:r>
              <w:rPr>
                <w:rFonts w:ascii="Arial" w:hAnsi="Arial" w:cs="Arial"/>
                <w:b/>
              </w:rPr>
              <w:t xml:space="preserve">, </w:t>
            </w:r>
            <w:r w:rsidR="00700F17">
              <w:rPr>
                <w:rFonts w:ascii="Arial" w:hAnsi="Arial" w:cs="Arial"/>
                <w:b/>
              </w:rPr>
              <w:t xml:space="preserve">wielkość </w:t>
            </w:r>
            <w:r w:rsidR="00700F17" w:rsidRPr="00010A1F">
              <w:rPr>
                <w:rFonts w:ascii="Arial" w:hAnsi="Arial" w:cs="Arial"/>
                <w:b/>
              </w:rPr>
              <w:t>dofinansowania</w:t>
            </w:r>
            <w:r>
              <w:rPr>
                <w:rFonts w:ascii="Arial" w:hAnsi="Arial" w:cs="Arial"/>
                <w:b/>
              </w:rPr>
              <w:t>, pomoc publiczna</w:t>
            </w:r>
            <w:r w:rsidR="00876805" w:rsidRPr="00010A1F">
              <w:rPr>
                <w:rFonts w:ascii="Arial" w:hAnsi="Arial" w:cs="Arial"/>
                <w:b/>
              </w:rPr>
              <w:t xml:space="preserve"> </w:t>
            </w:r>
          </w:p>
        </w:tc>
        <w:tc>
          <w:tcPr>
            <w:tcW w:w="10738" w:type="dxa"/>
            <w:vAlign w:val="center"/>
          </w:tcPr>
          <w:p w14:paraId="35BC1FF4" w14:textId="77777777" w:rsidR="008F2E48" w:rsidRPr="00021264" w:rsidRDefault="008F2E48" w:rsidP="008F2E48">
            <w:pPr>
              <w:autoSpaceDE w:val="0"/>
              <w:autoSpaceDN w:val="0"/>
              <w:adjustRightInd w:val="0"/>
              <w:spacing w:before="120" w:after="0"/>
              <w:ind w:left="-76"/>
              <w:jc w:val="both"/>
              <w:rPr>
                <w:rFonts w:cs="Verdana"/>
              </w:rPr>
            </w:pPr>
            <w:r w:rsidRPr="00021264">
              <w:rPr>
                <w:rFonts w:cs="Verdana"/>
              </w:rPr>
              <w:t>Wsparcie będzie udzielane w formie grantu na przygotowanie studium wyko</w:t>
            </w:r>
            <w:r w:rsidR="00157533">
              <w:rPr>
                <w:rFonts w:cs="Verdana"/>
              </w:rPr>
              <w:t>nalności. Granty będą udzielane</w:t>
            </w:r>
            <w:r w:rsidRPr="00021264">
              <w:rPr>
                <w:rFonts w:cs="Verdana"/>
              </w:rPr>
              <w:t xml:space="preserve"> w formie ryczałtu. Wsparcie będzie udzielane na podstawie Rozporządzenia w sprawie udzielania przez PARP pomocy finansowej w ramach POIR. </w:t>
            </w:r>
          </w:p>
          <w:p w14:paraId="0D2290F0" w14:textId="77777777" w:rsidR="008F2E48" w:rsidRPr="00021264" w:rsidRDefault="008F2E48" w:rsidP="008F2E48">
            <w:pPr>
              <w:autoSpaceDE w:val="0"/>
              <w:autoSpaceDN w:val="0"/>
              <w:adjustRightInd w:val="0"/>
              <w:spacing w:before="120" w:after="0"/>
              <w:jc w:val="both"/>
              <w:rPr>
                <w:rFonts w:cs="Verdana"/>
              </w:rPr>
            </w:pPr>
            <w:r w:rsidRPr="00021264">
              <w:rPr>
                <w:rFonts w:cs="Verdana"/>
              </w:rPr>
              <w:t>Kwota dofinansowania będzie wynosiła:</w:t>
            </w:r>
          </w:p>
          <w:p w14:paraId="021F01A3" w14:textId="22E22A55" w:rsidR="008F2E48" w:rsidRPr="00021264" w:rsidRDefault="00D935E1" w:rsidP="008F2E48">
            <w:pPr>
              <w:pStyle w:val="Akapitzlist"/>
              <w:numPr>
                <w:ilvl w:val="0"/>
                <w:numId w:val="22"/>
              </w:numPr>
              <w:autoSpaceDE w:val="0"/>
              <w:autoSpaceDN w:val="0"/>
              <w:adjustRightInd w:val="0"/>
              <w:spacing w:before="120" w:after="0"/>
              <w:ind w:left="284"/>
              <w:contextualSpacing w:val="0"/>
              <w:jc w:val="both"/>
              <w:rPr>
                <w:rFonts w:cs="Verdana"/>
              </w:rPr>
            </w:pPr>
            <w:r>
              <w:rPr>
                <w:rFonts w:cs="Verdana"/>
              </w:rPr>
              <w:t>210 </w:t>
            </w:r>
            <w:r w:rsidR="00B32A42">
              <w:rPr>
                <w:rFonts w:cs="Verdana"/>
              </w:rPr>
              <w:t>000</w:t>
            </w:r>
            <w:r>
              <w:rPr>
                <w:rFonts w:cs="Verdana"/>
              </w:rPr>
              <w:t xml:space="preserve">,00 </w:t>
            </w:r>
            <w:r w:rsidR="008F2E48" w:rsidRPr="00021264">
              <w:rPr>
                <w:rFonts w:cs="Verdana"/>
              </w:rPr>
              <w:t>PLN dla:</w:t>
            </w:r>
          </w:p>
          <w:p w14:paraId="7A8E7166" w14:textId="71052B42" w:rsidR="008F2E48" w:rsidRPr="00021264" w:rsidRDefault="008F2E48" w:rsidP="008F2E48">
            <w:pPr>
              <w:pStyle w:val="Akapitzlist"/>
              <w:autoSpaceDE w:val="0"/>
              <w:autoSpaceDN w:val="0"/>
              <w:adjustRightInd w:val="0"/>
              <w:spacing w:before="120" w:after="0"/>
              <w:ind w:left="284"/>
              <w:contextualSpacing w:val="0"/>
              <w:jc w:val="both"/>
              <w:rPr>
                <w:rFonts w:cs="Verdana"/>
              </w:rPr>
            </w:pPr>
            <w:r w:rsidRPr="00021264">
              <w:rPr>
                <w:rFonts w:cs="Verdana"/>
              </w:rPr>
              <w:t xml:space="preserve">- mikro, małych i średnich przedsiębiorstw w przypadku pomocy </w:t>
            </w:r>
            <w:r w:rsidRPr="00021264">
              <w:rPr>
                <w:rFonts w:cs="Verdana"/>
                <w:i/>
              </w:rPr>
              <w:t>de minimis</w:t>
            </w:r>
            <w:r w:rsidRPr="00021264">
              <w:rPr>
                <w:rFonts w:cs="Verdana"/>
              </w:rPr>
              <w:t xml:space="preserve"> na zasadach określonych w </w:t>
            </w:r>
            <w:r w:rsidRPr="00021264">
              <w:rPr>
                <w:rFonts w:cs="Arial"/>
              </w:rPr>
              <w:t>§</w:t>
            </w:r>
            <w:r w:rsidR="00157533">
              <w:rPr>
                <w:rFonts w:cs="Arial"/>
              </w:rPr>
              <w:t xml:space="preserve"> </w:t>
            </w:r>
            <w:r w:rsidRPr="00021264">
              <w:rPr>
                <w:rFonts w:cs="Verdana"/>
              </w:rPr>
              <w:t xml:space="preserve">42 </w:t>
            </w:r>
            <w:r w:rsidR="004C359A">
              <w:rPr>
                <w:rFonts w:cs="Verdana"/>
              </w:rPr>
              <w:t>pkt</w:t>
            </w:r>
            <w:r w:rsidRPr="00021264">
              <w:rPr>
                <w:rFonts w:cs="Verdana"/>
              </w:rPr>
              <w:t xml:space="preserve">. </w:t>
            </w:r>
            <w:r w:rsidR="00F750A2">
              <w:rPr>
                <w:rFonts w:cs="Verdana"/>
              </w:rPr>
              <w:t>19</w:t>
            </w:r>
            <w:r w:rsidRPr="00021264">
              <w:rPr>
                <w:rFonts w:cs="Verdana"/>
              </w:rPr>
              <w:t xml:space="preserve"> Rozporządzenia w sprawie udzielania przez PARP pomocy finansowej w ramach POIR </w:t>
            </w:r>
          </w:p>
          <w:p w14:paraId="45A1562F" w14:textId="77777777" w:rsidR="008F2E48" w:rsidRPr="00021264" w:rsidRDefault="008F2E48" w:rsidP="008F2E48">
            <w:pPr>
              <w:pStyle w:val="Akapitzlist"/>
              <w:autoSpaceDE w:val="0"/>
              <w:autoSpaceDN w:val="0"/>
              <w:adjustRightInd w:val="0"/>
              <w:spacing w:before="120" w:after="0"/>
              <w:ind w:left="284"/>
              <w:contextualSpacing w:val="0"/>
              <w:jc w:val="both"/>
              <w:rPr>
                <w:rFonts w:cs="Verdana"/>
              </w:rPr>
            </w:pPr>
            <w:r w:rsidRPr="00021264">
              <w:rPr>
                <w:rFonts w:cs="Verdana"/>
              </w:rPr>
              <w:t xml:space="preserve">oraz </w:t>
            </w:r>
          </w:p>
          <w:p w14:paraId="59742ADB" w14:textId="77777777" w:rsidR="008F2E48" w:rsidRPr="00021264" w:rsidRDefault="008F2E48" w:rsidP="008F2E48">
            <w:pPr>
              <w:pStyle w:val="Akapitzlist"/>
              <w:autoSpaceDE w:val="0"/>
              <w:autoSpaceDN w:val="0"/>
              <w:adjustRightInd w:val="0"/>
              <w:spacing w:before="120" w:after="0"/>
              <w:ind w:left="284"/>
              <w:contextualSpacing w:val="0"/>
              <w:jc w:val="both"/>
              <w:rPr>
                <w:rFonts w:cs="Verdana"/>
              </w:rPr>
            </w:pPr>
            <w:r w:rsidRPr="00021264">
              <w:rPr>
                <w:rFonts w:cs="Verdana"/>
              </w:rPr>
              <w:t xml:space="preserve">- mikro i małych przedsiębiorstw w przypadku pomocy na projekty badawczo rozwojowe oraz studia wykonalności na zasadach określonych w </w:t>
            </w:r>
            <w:r w:rsidRPr="00021264">
              <w:rPr>
                <w:rFonts w:cs="Arial"/>
              </w:rPr>
              <w:t>§</w:t>
            </w:r>
            <w:r w:rsidR="00157533">
              <w:rPr>
                <w:rFonts w:cs="Arial"/>
              </w:rPr>
              <w:t xml:space="preserve"> </w:t>
            </w:r>
            <w:r w:rsidRPr="00021264">
              <w:rPr>
                <w:rFonts w:cs="Arial"/>
              </w:rPr>
              <w:t xml:space="preserve">26 ust. 3 i 4 </w:t>
            </w:r>
            <w:r w:rsidRPr="00021264">
              <w:rPr>
                <w:rFonts w:cs="Verdana"/>
              </w:rPr>
              <w:t>Rozporządzenia w sprawie udzielania przez PARP pomocy finansowej w ramach POIR,</w:t>
            </w:r>
          </w:p>
          <w:p w14:paraId="589CEEF8" w14:textId="79783CCB" w:rsidR="008F2E48" w:rsidRPr="00021264" w:rsidRDefault="00157533" w:rsidP="008F2E48">
            <w:pPr>
              <w:pStyle w:val="Akapitzlist"/>
              <w:numPr>
                <w:ilvl w:val="0"/>
                <w:numId w:val="22"/>
              </w:numPr>
              <w:autoSpaceDE w:val="0"/>
              <w:autoSpaceDN w:val="0"/>
              <w:adjustRightInd w:val="0"/>
              <w:spacing w:before="120" w:after="0"/>
              <w:ind w:left="284"/>
              <w:contextualSpacing w:val="0"/>
              <w:jc w:val="both"/>
              <w:rPr>
                <w:rFonts w:cs="Verdana"/>
              </w:rPr>
            </w:pPr>
            <w:r>
              <w:rPr>
                <w:rFonts w:cs="Verdana"/>
              </w:rPr>
              <w:lastRenderedPageBreak/>
              <w:t>1</w:t>
            </w:r>
            <w:r w:rsidR="00B32A42">
              <w:rPr>
                <w:rFonts w:cs="Verdana"/>
              </w:rPr>
              <w:t>80 000</w:t>
            </w:r>
            <w:r w:rsidR="00D935E1">
              <w:rPr>
                <w:rFonts w:cs="Verdana"/>
              </w:rPr>
              <w:t xml:space="preserve">,00 </w:t>
            </w:r>
            <w:r w:rsidR="008F2E48" w:rsidRPr="00021264">
              <w:rPr>
                <w:rFonts w:cs="Verdana"/>
              </w:rPr>
              <w:t xml:space="preserve">PLN dla średnich przedsiębiorstw w przypadku pomocy na projekty badawczo-rozwojowe oraz studia wykonalności na zasadach określonych w </w:t>
            </w:r>
            <w:r w:rsidR="008F2E48" w:rsidRPr="00021264">
              <w:rPr>
                <w:rFonts w:cs="Arial"/>
              </w:rPr>
              <w:t xml:space="preserve">§ 26 ust. 3 i 4 </w:t>
            </w:r>
            <w:r w:rsidR="008F2E48" w:rsidRPr="00021264">
              <w:rPr>
                <w:rFonts w:cs="Verdana"/>
              </w:rPr>
              <w:t xml:space="preserve">Rozporządzenia w sprawie udzielania przez PARP pomocy finansowej w ramach POIR. </w:t>
            </w:r>
          </w:p>
          <w:p w14:paraId="17889103" w14:textId="3C75C37B" w:rsidR="008F2E48" w:rsidRPr="00021264" w:rsidRDefault="008F2E48" w:rsidP="008F2E48">
            <w:pPr>
              <w:autoSpaceDE w:val="0"/>
              <w:autoSpaceDN w:val="0"/>
              <w:adjustRightInd w:val="0"/>
              <w:spacing w:before="120" w:after="0"/>
              <w:jc w:val="both"/>
              <w:rPr>
                <w:rFonts w:cs="Verdana"/>
              </w:rPr>
            </w:pPr>
            <w:r w:rsidRPr="00021264">
              <w:rPr>
                <w:rFonts w:cs="Verdana"/>
              </w:rPr>
              <w:t xml:space="preserve">Przewidziana jest zaliczka w wysokości do 40% wartości grantu </w:t>
            </w:r>
            <w:r w:rsidRPr="00021264">
              <w:rPr>
                <w:rFonts w:cs="Arial"/>
              </w:rPr>
              <w:t>(z</w:t>
            </w:r>
            <w:r w:rsidRPr="00021264">
              <w:t xml:space="preserve">godnie z </w:t>
            </w:r>
            <w:r w:rsidRPr="00021264">
              <w:rPr>
                <w:rFonts w:cs="EUAlbertina"/>
                <w:bCs/>
                <w:color w:val="000000"/>
              </w:rPr>
              <w:t>ROZPORZĄDZENIEM PARLAMENTU EUROPEJSKIEGO I RADY (UE) NR 1303/2013 z dnia 17 grudnia 2013 r. zaliczka nie może przekraczać 40%)</w:t>
            </w:r>
            <w:r w:rsidRPr="00021264">
              <w:rPr>
                <w:rFonts w:cs="Verdana"/>
              </w:rPr>
              <w:t>.</w:t>
            </w:r>
            <w:r w:rsidR="00700F17">
              <w:rPr>
                <w:rFonts w:cs="Verdana"/>
              </w:rPr>
              <w:t xml:space="preserve"> Jest to też zgodne z zasadami stosowanymi w SMEI H2020.</w:t>
            </w:r>
            <w:r w:rsidRPr="00021264">
              <w:rPr>
                <w:rFonts w:cs="Verdana"/>
              </w:rPr>
              <w:t xml:space="preserve"> </w:t>
            </w:r>
          </w:p>
          <w:p w14:paraId="6D2FEFA9" w14:textId="77777777" w:rsidR="00876805" w:rsidRPr="00021264" w:rsidRDefault="00876805" w:rsidP="00010A1F">
            <w:pPr>
              <w:spacing w:after="0" w:line="240" w:lineRule="auto"/>
              <w:rPr>
                <w:rFonts w:ascii="Arial" w:hAnsi="Arial" w:cs="Arial"/>
              </w:rPr>
            </w:pPr>
          </w:p>
          <w:p w14:paraId="630A22D9" w14:textId="38858DB1" w:rsidR="00916F15" w:rsidRPr="00021264" w:rsidRDefault="00916F15" w:rsidP="00916F15">
            <w:pPr>
              <w:autoSpaceDE w:val="0"/>
              <w:autoSpaceDN w:val="0"/>
              <w:adjustRightInd w:val="0"/>
              <w:spacing w:before="120" w:after="0"/>
              <w:jc w:val="both"/>
              <w:rPr>
                <w:rFonts w:cs="Verdana"/>
              </w:rPr>
            </w:pPr>
            <w:r w:rsidRPr="00021264">
              <w:rPr>
                <w:rFonts w:cs="Verdana"/>
              </w:rPr>
              <w:t>KE oszacowała standardowe (średnie) koszty związane z opracowaniem studium wykonalności przy założeniu, że realizacja projektu zajmuje 6 miesięcy, wymaga zaan</w:t>
            </w:r>
            <w:r w:rsidR="00157533">
              <w:rPr>
                <w:rFonts w:cs="Verdana"/>
              </w:rPr>
              <w:t xml:space="preserve">gażowania od 1 do 2 ekspertów, </w:t>
            </w:r>
            <w:r w:rsidRPr="00021264">
              <w:rPr>
                <w:rFonts w:cs="Verdana"/>
              </w:rPr>
              <w:t xml:space="preserve">z których każdy pracuje 120 dni, a stawka dla eksperta wynosi 450 EUR/dzień. Następnie otrzymany przedział kwotowy został porównany z kwotami dofinansowania dostępnymi w innych podobnych programach wsparcia, dostępnych w Wielkiej Brytanii, Holandii, USA i Szwecji. Na tej podstawie KE uznała, że do przygotowania studium wykonalności potrzebna jest kwota co najmniej 70 tys. EUR. Przy zastosowaniu poziomu dofinansowania, wynoszącego 70%, kwotę grantu oszacowano na poziomie 49 tys. EUR, a następnie zaokrąglono do 50 tys. EUR, co dało szacowane koszty przygotowania studium wykonalności na poziomie 71.429 EUR. </w:t>
            </w:r>
            <w:r w:rsidR="00B32A42">
              <w:rPr>
                <w:rFonts w:cs="Verdana"/>
              </w:rPr>
              <w:t>Kwotę tę w przeliczeniu na PLN zaokrąglono do 300 tys. PLN.</w:t>
            </w:r>
          </w:p>
          <w:p w14:paraId="16E7D3CC" w14:textId="77777777" w:rsidR="00A703EB" w:rsidRDefault="00A703EB" w:rsidP="00A703EB">
            <w:pPr>
              <w:spacing w:after="0" w:line="240" w:lineRule="auto"/>
              <w:jc w:val="both"/>
              <w:rPr>
                <w:rFonts w:cs="Arial"/>
              </w:rPr>
            </w:pPr>
            <w:bookmarkStart w:id="2" w:name="_GoBack"/>
            <w:bookmarkEnd w:id="2"/>
          </w:p>
          <w:p w14:paraId="56B50157" w14:textId="533BBAA5" w:rsidR="00876805" w:rsidRPr="00010A1F" w:rsidRDefault="00916F15" w:rsidP="00157533">
            <w:pPr>
              <w:spacing w:after="0" w:line="240" w:lineRule="auto"/>
              <w:jc w:val="both"/>
              <w:rPr>
                <w:rFonts w:ascii="Arial" w:hAnsi="Arial" w:cs="Arial"/>
              </w:rPr>
            </w:pPr>
            <w:r w:rsidRPr="00021264">
              <w:rPr>
                <w:rFonts w:cs="Arial"/>
              </w:rPr>
              <w:t>Pomoc publiczna udzielana będzie na podstawie art. 25 ust. 7 GBER</w:t>
            </w:r>
            <w:r w:rsidRPr="00021264">
              <w:rPr>
                <w:rStyle w:val="Odwoanieprzypisudolnego"/>
                <w:rFonts w:cs="Arial"/>
              </w:rPr>
              <w:footnoteReference w:id="3"/>
            </w:r>
            <w:r w:rsidRPr="00021264">
              <w:rPr>
                <w:rFonts w:cs="Arial"/>
              </w:rPr>
              <w:t xml:space="preserve"> oraz § 26 ust. 3 i 4 rozporządzenia o udzielaniu przez PARP pomocy finansowej w ramach POIR, nie może przekroczyć 50% kosztów kwalifikowanych i może być zwiększona o 10% dla średnich przedsiębiorców oraz o 20% dla mikro i małych przedsiębiorców. Z tego względu k</w:t>
            </w:r>
            <w:r w:rsidRPr="00021264">
              <w:rPr>
                <w:rFonts w:cs="Verdana"/>
              </w:rPr>
              <w:t>wota 2</w:t>
            </w:r>
            <w:r w:rsidR="00157533">
              <w:rPr>
                <w:rFonts w:cs="Verdana"/>
              </w:rPr>
              <w:t>1</w:t>
            </w:r>
            <w:r w:rsidR="00B32A42">
              <w:rPr>
                <w:rFonts w:cs="Verdana"/>
              </w:rPr>
              <w:t>0</w:t>
            </w:r>
            <w:r w:rsidRPr="00021264">
              <w:rPr>
                <w:rFonts w:cs="Verdana"/>
              </w:rPr>
              <w:t xml:space="preserve"> tys. PLN, odpowiadająca 70% dofinansowania, została obniżona proporcjonalnie i zaokrąglona, co dało wartość 1</w:t>
            </w:r>
            <w:r w:rsidR="00157533">
              <w:rPr>
                <w:rFonts w:cs="Verdana"/>
              </w:rPr>
              <w:t>8</w:t>
            </w:r>
            <w:r w:rsidR="00B32A42">
              <w:rPr>
                <w:rFonts w:cs="Verdana"/>
              </w:rPr>
              <w:t>0</w:t>
            </w:r>
            <w:r w:rsidRPr="00021264">
              <w:rPr>
                <w:rFonts w:cs="Verdana"/>
              </w:rPr>
              <w:t xml:space="preserve"> tys. PLN w przypadku dofinansowania wynoszącego 60% dla średnich przedsiębiorstw.</w:t>
            </w:r>
          </w:p>
        </w:tc>
      </w:tr>
      <w:tr w:rsidR="00916F15" w:rsidRPr="00010A1F" w14:paraId="52391565" w14:textId="77777777" w:rsidTr="00157533">
        <w:tc>
          <w:tcPr>
            <w:tcW w:w="3256" w:type="dxa"/>
            <w:vAlign w:val="center"/>
          </w:tcPr>
          <w:p w14:paraId="40A7A05C" w14:textId="77777777" w:rsidR="00916F15" w:rsidRPr="00010A1F" w:rsidRDefault="00A703EB" w:rsidP="00010A1F">
            <w:pPr>
              <w:spacing w:after="0" w:line="240" w:lineRule="auto"/>
              <w:rPr>
                <w:rFonts w:ascii="Arial" w:hAnsi="Arial" w:cs="Arial"/>
                <w:b/>
              </w:rPr>
            </w:pPr>
            <w:r>
              <w:rPr>
                <w:rFonts w:ascii="Arial" w:hAnsi="Arial" w:cs="Arial"/>
                <w:b/>
              </w:rPr>
              <w:lastRenderedPageBreak/>
              <w:t>Cele instrumentu</w:t>
            </w:r>
          </w:p>
        </w:tc>
        <w:tc>
          <w:tcPr>
            <w:tcW w:w="10738" w:type="dxa"/>
            <w:vAlign w:val="center"/>
          </w:tcPr>
          <w:p w14:paraId="79BFD2D8" w14:textId="77777777" w:rsidR="00A703EB" w:rsidRPr="00A703EB" w:rsidRDefault="00A703EB" w:rsidP="00A703EB">
            <w:pPr>
              <w:spacing w:before="120" w:after="160"/>
            </w:pPr>
            <w:r w:rsidRPr="00A703EB">
              <w:t>Cele pilotażowego instrumentu wsparcia:</w:t>
            </w:r>
          </w:p>
          <w:p w14:paraId="4F08981C" w14:textId="77777777" w:rsidR="00A703EB" w:rsidRDefault="00A703EB" w:rsidP="00A703EB">
            <w:pPr>
              <w:pStyle w:val="Akapitzlist"/>
              <w:numPr>
                <w:ilvl w:val="0"/>
                <w:numId w:val="24"/>
              </w:numPr>
              <w:spacing w:before="120" w:after="0"/>
              <w:contextualSpacing w:val="0"/>
              <w:jc w:val="both"/>
            </w:pPr>
            <w:r>
              <w:t xml:space="preserve">przygotowanie najbardziej efektywnej ścieżki dofinansowania projektów z certyfikatem </w:t>
            </w:r>
            <w:r w:rsidRPr="00034C27">
              <w:rPr>
                <w:i/>
              </w:rPr>
              <w:t>Seal of Excellence</w:t>
            </w:r>
            <w:r>
              <w:t>;</w:t>
            </w:r>
          </w:p>
          <w:p w14:paraId="17C05CE4" w14:textId="77777777" w:rsidR="00A703EB" w:rsidRPr="00D45D55" w:rsidRDefault="00A703EB" w:rsidP="00A703EB">
            <w:pPr>
              <w:pStyle w:val="Akapitzlist"/>
              <w:numPr>
                <w:ilvl w:val="0"/>
                <w:numId w:val="24"/>
              </w:numPr>
              <w:spacing w:before="120" w:after="0"/>
              <w:contextualSpacing w:val="0"/>
              <w:jc w:val="both"/>
            </w:pPr>
            <w:r w:rsidRPr="00D45D55">
              <w:t>przetestowanie założeń opracowanej koncepcji instrumentu w szczególności w zakresie oceny i rozliczenia projektów;</w:t>
            </w:r>
          </w:p>
          <w:p w14:paraId="49B84DD3" w14:textId="77777777" w:rsidR="00A703EB" w:rsidRPr="00D45D55" w:rsidRDefault="00A703EB" w:rsidP="00A703EB">
            <w:pPr>
              <w:pStyle w:val="Akapitzlist"/>
              <w:numPr>
                <w:ilvl w:val="0"/>
                <w:numId w:val="24"/>
              </w:numPr>
              <w:spacing w:before="120" w:after="0"/>
              <w:contextualSpacing w:val="0"/>
              <w:jc w:val="both"/>
            </w:pPr>
            <w:r w:rsidRPr="00D45D55">
              <w:rPr>
                <w:rFonts w:cs="Arial"/>
              </w:rPr>
              <w:t xml:space="preserve">dofinansowanie realizacji projektów pozytywnie ocenionych w ramach SMEI w H2020, Faza </w:t>
            </w:r>
            <w:r>
              <w:rPr>
                <w:rFonts w:cs="Arial"/>
              </w:rPr>
              <w:t>I</w:t>
            </w:r>
            <w:r w:rsidRPr="00D45D55">
              <w:rPr>
                <w:rFonts w:cs="Arial"/>
              </w:rPr>
              <w:t>, które nie otrzymały wsparcia z powodu ograniczonego budżetu;</w:t>
            </w:r>
          </w:p>
          <w:p w14:paraId="3E8E7DEE" w14:textId="77777777" w:rsidR="00A703EB" w:rsidRPr="00D45D55" w:rsidRDefault="00A703EB" w:rsidP="00A703EB">
            <w:pPr>
              <w:pStyle w:val="Akapitzlist"/>
              <w:numPr>
                <w:ilvl w:val="0"/>
                <w:numId w:val="24"/>
              </w:numPr>
              <w:autoSpaceDE w:val="0"/>
              <w:autoSpaceDN w:val="0"/>
              <w:adjustRightInd w:val="0"/>
              <w:spacing w:before="120" w:after="0"/>
              <w:contextualSpacing w:val="0"/>
              <w:jc w:val="both"/>
              <w:rPr>
                <w:rFonts w:eastAsia="Times New Roman"/>
              </w:rPr>
            </w:pPr>
            <w:r w:rsidRPr="00D45D55">
              <w:rPr>
                <w:rFonts w:eastAsia="Times New Roman"/>
              </w:rPr>
              <w:lastRenderedPageBreak/>
              <w:t xml:space="preserve">zapewnienie synergii pomiędzy źródłami finansowania poprzez opracowanie ścieżki finansowania krajowego projektów posiadających certyfikaty </w:t>
            </w:r>
            <w:r w:rsidRPr="00034C27">
              <w:rPr>
                <w:i/>
              </w:rPr>
              <w:t>Seal of Excellence</w:t>
            </w:r>
            <w:r w:rsidRPr="00D45D55">
              <w:rPr>
                <w:rFonts w:eastAsia="Times New Roman"/>
              </w:rPr>
              <w:t>;</w:t>
            </w:r>
          </w:p>
          <w:p w14:paraId="7B81EAF9" w14:textId="77777777" w:rsidR="00A703EB" w:rsidRPr="00D45D55" w:rsidRDefault="00A703EB" w:rsidP="00A703EB">
            <w:pPr>
              <w:pStyle w:val="Akapitzlist"/>
              <w:numPr>
                <w:ilvl w:val="0"/>
                <w:numId w:val="24"/>
              </w:numPr>
              <w:autoSpaceDE w:val="0"/>
              <w:autoSpaceDN w:val="0"/>
              <w:adjustRightInd w:val="0"/>
              <w:spacing w:before="120" w:after="0"/>
              <w:contextualSpacing w:val="0"/>
              <w:jc w:val="both"/>
              <w:rPr>
                <w:rFonts w:cs="Verdana"/>
              </w:rPr>
            </w:pPr>
            <w:r w:rsidRPr="00D45D55">
              <w:rPr>
                <w:rFonts w:cs="Verdana"/>
              </w:rPr>
              <w:t>zwiększenie innowacyjności i konkurencyjności polskich MSP;</w:t>
            </w:r>
          </w:p>
          <w:p w14:paraId="422058A7" w14:textId="77777777" w:rsidR="00A703EB" w:rsidRPr="00D45D55" w:rsidRDefault="00A703EB" w:rsidP="00A703EB">
            <w:pPr>
              <w:pStyle w:val="Akapitzlist"/>
              <w:numPr>
                <w:ilvl w:val="0"/>
                <w:numId w:val="24"/>
              </w:numPr>
              <w:autoSpaceDE w:val="0"/>
              <w:autoSpaceDN w:val="0"/>
              <w:adjustRightInd w:val="0"/>
              <w:spacing w:before="120" w:after="0"/>
              <w:contextualSpacing w:val="0"/>
              <w:jc w:val="both"/>
              <w:rPr>
                <w:rFonts w:cs="Verdana"/>
              </w:rPr>
            </w:pPr>
            <w:r w:rsidRPr="00D45D55">
              <w:rPr>
                <w:rFonts w:cs="Verdana"/>
              </w:rPr>
              <w:t>poprawa liczby i jakości polskich wniosków składanych do H2020;</w:t>
            </w:r>
          </w:p>
          <w:p w14:paraId="6DF5E4CB" w14:textId="77777777" w:rsidR="00A703EB" w:rsidRPr="00D45D55" w:rsidRDefault="00A703EB" w:rsidP="00A703EB">
            <w:pPr>
              <w:pStyle w:val="Akapitzlist"/>
              <w:numPr>
                <w:ilvl w:val="0"/>
                <w:numId w:val="24"/>
              </w:numPr>
              <w:autoSpaceDE w:val="0"/>
              <w:autoSpaceDN w:val="0"/>
              <w:adjustRightInd w:val="0"/>
              <w:spacing w:before="120" w:after="0"/>
              <w:contextualSpacing w:val="0"/>
              <w:jc w:val="both"/>
              <w:rPr>
                <w:rFonts w:cs="Verdana"/>
              </w:rPr>
            </w:pPr>
            <w:r w:rsidRPr="00D45D55">
              <w:rPr>
                <w:rFonts w:cs="Verdana"/>
              </w:rPr>
              <w:t>zwiększenie wykorzystania środków z  programów ramowych przez polskie firmy;</w:t>
            </w:r>
          </w:p>
          <w:p w14:paraId="0D572FB1" w14:textId="77777777" w:rsidR="00A703EB" w:rsidRPr="00D45D55" w:rsidRDefault="00A703EB" w:rsidP="00A703EB">
            <w:pPr>
              <w:pStyle w:val="Akapitzlist"/>
              <w:numPr>
                <w:ilvl w:val="0"/>
                <w:numId w:val="24"/>
              </w:numPr>
              <w:autoSpaceDE w:val="0"/>
              <w:autoSpaceDN w:val="0"/>
              <w:adjustRightInd w:val="0"/>
              <w:spacing w:before="120" w:after="0"/>
              <w:contextualSpacing w:val="0"/>
              <w:jc w:val="both"/>
              <w:rPr>
                <w:rFonts w:cs="Verdana"/>
              </w:rPr>
            </w:pPr>
            <w:r w:rsidRPr="00D45D55">
              <w:t>efektywniejsze wykorzystanie środków publicznych poprzez wspieranie najlepiej rokujących firm</w:t>
            </w:r>
            <w:r>
              <w:t xml:space="preserve"> i ich projektów</w:t>
            </w:r>
            <w:r w:rsidRPr="00D45D55">
              <w:t xml:space="preserve"> (wykazujących wysoki potencjał wzrostu i ambicje międzynarodowe);</w:t>
            </w:r>
          </w:p>
          <w:p w14:paraId="64CD5B29" w14:textId="35742C9A" w:rsidR="00A703EB" w:rsidRPr="00D45D55" w:rsidRDefault="00A703EB" w:rsidP="00A703EB">
            <w:pPr>
              <w:spacing w:before="120"/>
              <w:rPr>
                <w:u w:val="single"/>
              </w:rPr>
            </w:pPr>
            <w:r w:rsidRPr="00D45D55">
              <w:rPr>
                <w:u w:val="single"/>
              </w:rPr>
              <w:t xml:space="preserve">Korzyści dla </w:t>
            </w:r>
            <w:r w:rsidR="00CA35B7">
              <w:rPr>
                <w:u w:val="single"/>
              </w:rPr>
              <w:t>grantobiorcy</w:t>
            </w:r>
          </w:p>
          <w:p w14:paraId="352F2723" w14:textId="44DFCF8F" w:rsidR="00A703EB" w:rsidRPr="00D45D55" w:rsidRDefault="00A703EB" w:rsidP="00A703EB">
            <w:pPr>
              <w:spacing w:before="120" w:after="120"/>
              <w:jc w:val="both"/>
            </w:pPr>
            <w:r w:rsidRPr="00D45D55">
              <w:t xml:space="preserve">Celem instrumentu jest również dostarczenie </w:t>
            </w:r>
            <w:r w:rsidR="00CA35B7">
              <w:t>grantobiorcy</w:t>
            </w:r>
            <w:r w:rsidR="00CA35B7" w:rsidRPr="00D45D55">
              <w:t xml:space="preserve"> </w:t>
            </w:r>
            <w:r w:rsidRPr="00D45D55">
              <w:t xml:space="preserve">następujących korzyści: </w:t>
            </w:r>
          </w:p>
          <w:p w14:paraId="6CFD2B20" w14:textId="77777777" w:rsidR="00A703EB" w:rsidRPr="00D45D55" w:rsidRDefault="00A703EB" w:rsidP="00A703EB">
            <w:pPr>
              <w:pStyle w:val="Akapitzlist"/>
              <w:numPr>
                <w:ilvl w:val="0"/>
                <w:numId w:val="25"/>
              </w:numPr>
              <w:spacing w:before="120" w:after="120"/>
              <w:contextualSpacing w:val="0"/>
              <w:jc w:val="both"/>
            </w:pPr>
            <w:r w:rsidRPr="00D45D55">
              <w:t>rozwój produktu/usługi oraz firmy,</w:t>
            </w:r>
          </w:p>
          <w:p w14:paraId="476C5A6B" w14:textId="77777777" w:rsidR="00A703EB" w:rsidRPr="00D45D55" w:rsidRDefault="00A703EB" w:rsidP="00A703EB">
            <w:pPr>
              <w:pStyle w:val="Akapitzlist"/>
              <w:numPr>
                <w:ilvl w:val="0"/>
                <w:numId w:val="25"/>
              </w:numPr>
              <w:spacing w:before="120" w:after="120"/>
              <w:contextualSpacing w:val="0"/>
              <w:jc w:val="both"/>
            </w:pPr>
            <w:r w:rsidRPr="00D45D55">
              <w:t>wzrost innowacyjności firmy (możliwość rozwijania innowacji, która ze względu na brak środków zostałaby zarzucona),</w:t>
            </w:r>
          </w:p>
          <w:p w14:paraId="22D59503" w14:textId="77777777" w:rsidR="00A703EB" w:rsidRPr="00D45D55" w:rsidRDefault="00A703EB" w:rsidP="00A703EB">
            <w:pPr>
              <w:pStyle w:val="Akapitzlist"/>
              <w:numPr>
                <w:ilvl w:val="0"/>
                <w:numId w:val="25"/>
              </w:numPr>
              <w:spacing w:before="120" w:after="120"/>
              <w:contextualSpacing w:val="0"/>
              <w:jc w:val="both"/>
            </w:pPr>
            <w:r w:rsidRPr="00D45D55">
              <w:t>możliwość wyboru – alternatywa dla SMEI F</w:t>
            </w:r>
            <w:r>
              <w:t xml:space="preserve">aza I </w:t>
            </w:r>
            <w:r w:rsidRPr="00D45D55">
              <w:t>(aplikowanie ponownie do SMEI albo do instrumentu krajowego),</w:t>
            </w:r>
          </w:p>
          <w:p w14:paraId="76C25B45" w14:textId="77777777" w:rsidR="00A703EB" w:rsidRPr="00D45D55" w:rsidRDefault="00A703EB" w:rsidP="00A703EB">
            <w:pPr>
              <w:pStyle w:val="Akapitzlist"/>
              <w:numPr>
                <w:ilvl w:val="0"/>
                <w:numId w:val="25"/>
              </w:numPr>
              <w:spacing w:before="120" w:after="120"/>
              <w:contextualSpacing w:val="0"/>
              <w:jc w:val="both"/>
            </w:pPr>
            <w:r w:rsidRPr="00D45D55">
              <w:t>lepsze przygotowanie projektu do komercjalizacji,</w:t>
            </w:r>
          </w:p>
          <w:p w14:paraId="19345556" w14:textId="77777777" w:rsidR="00A703EB" w:rsidRPr="00D45D55" w:rsidRDefault="00A703EB" w:rsidP="00A703EB">
            <w:pPr>
              <w:pStyle w:val="Akapitzlist"/>
              <w:numPr>
                <w:ilvl w:val="0"/>
                <w:numId w:val="25"/>
              </w:numPr>
              <w:spacing w:before="120" w:after="120"/>
              <w:contextualSpacing w:val="0"/>
              <w:jc w:val="both"/>
            </w:pPr>
            <w:r w:rsidRPr="00D45D55">
              <w:t>łatwość i szybkość aplikowania o wsparcie krajowe,</w:t>
            </w:r>
          </w:p>
          <w:p w14:paraId="07BA940B" w14:textId="77777777" w:rsidR="00A703EB" w:rsidRPr="00D45D55" w:rsidRDefault="00A703EB" w:rsidP="00A703EB">
            <w:pPr>
              <w:pStyle w:val="Akapitzlist"/>
              <w:numPr>
                <w:ilvl w:val="0"/>
                <w:numId w:val="25"/>
              </w:numPr>
              <w:spacing w:before="120" w:after="120"/>
              <w:contextualSpacing w:val="0"/>
              <w:jc w:val="both"/>
            </w:pPr>
            <w:r w:rsidRPr="00D45D55">
              <w:t xml:space="preserve">przygotowanie do aplikowania do Fazy </w:t>
            </w:r>
            <w:r>
              <w:t>II</w:t>
            </w:r>
            <w:r w:rsidRPr="00D45D55">
              <w:t xml:space="preserve"> SME</w:t>
            </w:r>
            <w:r>
              <w:t>I l</w:t>
            </w:r>
            <w:r w:rsidRPr="00D45D55">
              <w:t>ub innego programu,</w:t>
            </w:r>
          </w:p>
          <w:p w14:paraId="1BCE2EA2" w14:textId="77777777" w:rsidR="00A703EB" w:rsidRPr="00D45D55" w:rsidRDefault="00A703EB" w:rsidP="00A703EB">
            <w:pPr>
              <w:pStyle w:val="Akapitzlist"/>
              <w:numPr>
                <w:ilvl w:val="0"/>
                <w:numId w:val="25"/>
              </w:numPr>
              <w:spacing w:before="120" w:after="120"/>
              <w:contextualSpacing w:val="0"/>
              <w:jc w:val="both"/>
            </w:pPr>
            <w:r w:rsidRPr="00D45D55">
              <w:t xml:space="preserve">poprawa wizerunku firmy, prestiż związany z posiadaniem </w:t>
            </w:r>
            <w:r w:rsidRPr="00525180">
              <w:rPr>
                <w:i/>
              </w:rPr>
              <w:t>Seal of Excellence</w:t>
            </w:r>
            <w:r w:rsidRPr="00D45D55">
              <w:t>,</w:t>
            </w:r>
          </w:p>
          <w:p w14:paraId="4FDFBF03" w14:textId="1B87A06F" w:rsidR="00916F15" w:rsidRDefault="00A703EB" w:rsidP="00157533">
            <w:pPr>
              <w:pStyle w:val="Akapitzlist"/>
              <w:numPr>
                <w:ilvl w:val="0"/>
                <w:numId w:val="25"/>
              </w:numPr>
              <w:spacing w:before="120" w:after="120"/>
              <w:contextualSpacing w:val="0"/>
              <w:jc w:val="both"/>
            </w:pPr>
            <w:r w:rsidRPr="00D45D55">
              <w:t>poczucie wsparcia od instytucji publicznych</w:t>
            </w:r>
            <w:r w:rsidR="00700F17">
              <w:t>,</w:t>
            </w:r>
          </w:p>
          <w:p w14:paraId="55AFBED7" w14:textId="76EDD266" w:rsidR="00E567E1" w:rsidRPr="00157533" w:rsidRDefault="00E567E1" w:rsidP="00700F17">
            <w:pPr>
              <w:pStyle w:val="Akapitzlist"/>
              <w:numPr>
                <w:ilvl w:val="0"/>
                <w:numId w:val="25"/>
              </w:numPr>
              <w:spacing w:before="120" w:after="120"/>
              <w:contextualSpacing w:val="0"/>
              <w:jc w:val="both"/>
            </w:pPr>
            <w:r w:rsidRPr="00CC7265">
              <w:t>zweryfikowani</w:t>
            </w:r>
            <w:r>
              <w:t>e</w:t>
            </w:r>
            <w:r w:rsidRPr="00CC7265">
              <w:t xml:space="preserve"> wykonalności pomysłu</w:t>
            </w:r>
            <w:r>
              <w:t xml:space="preserve"> przez niezależny podmiot głównie pod kątem biznesowym</w:t>
            </w:r>
            <w:r w:rsidR="00700F17">
              <w:t>.</w:t>
            </w:r>
          </w:p>
        </w:tc>
      </w:tr>
      <w:tr w:rsidR="00916F15" w:rsidRPr="00010A1F" w14:paraId="30531C82" w14:textId="77777777" w:rsidTr="00157533">
        <w:tc>
          <w:tcPr>
            <w:tcW w:w="3256" w:type="dxa"/>
            <w:vAlign w:val="center"/>
          </w:tcPr>
          <w:p w14:paraId="72F6B4FB" w14:textId="77777777" w:rsidR="00916F15" w:rsidRPr="00157533" w:rsidRDefault="00916F15" w:rsidP="00010A1F">
            <w:pPr>
              <w:spacing w:after="0" w:line="240" w:lineRule="auto"/>
              <w:rPr>
                <w:rFonts w:ascii="Arial" w:hAnsi="Arial" w:cs="Arial"/>
                <w:b/>
              </w:rPr>
            </w:pPr>
            <w:r w:rsidRPr="00010A1F">
              <w:rPr>
                <w:rFonts w:ascii="Arial" w:hAnsi="Arial" w:cs="Arial"/>
                <w:b/>
              </w:rPr>
              <w:lastRenderedPageBreak/>
              <w:t>W jaki spos</w:t>
            </w:r>
            <w:r w:rsidR="00157533">
              <w:rPr>
                <w:rFonts w:ascii="Arial" w:hAnsi="Arial" w:cs="Arial"/>
                <w:b/>
              </w:rPr>
              <w:t>ób instrument odnosi się do OSI</w:t>
            </w:r>
            <w:r w:rsidRPr="00010A1F">
              <w:rPr>
                <w:rFonts w:ascii="Arial" w:hAnsi="Arial" w:cs="Arial"/>
                <w:b/>
              </w:rPr>
              <w:t xml:space="preserve"> i czy będzie realizowany w woj. mazowieckim? </w:t>
            </w:r>
          </w:p>
        </w:tc>
        <w:tc>
          <w:tcPr>
            <w:tcW w:w="10738" w:type="dxa"/>
            <w:vAlign w:val="center"/>
          </w:tcPr>
          <w:p w14:paraId="7D89F398" w14:textId="77777777" w:rsidR="00916F15" w:rsidRPr="002C087F" w:rsidRDefault="00916F15" w:rsidP="000D43A0">
            <w:pPr>
              <w:pStyle w:val="Akapitzlist"/>
              <w:autoSpaceDE w:val="0"/>
              <w:autoSpaceDN w:val="0"/>
              <w:adjustRightInd w:val="0"/>
              <w:spacing w:after="120" w:line="240" w:lineRule="auto"/>
              <w:ind w:left="0"/>
              <w:rPr>
                <w:rFonts w:asciiTheme="minorHAnsi" w:hAnsiTheme="minorHAnsi" w:cs="Arial"/>
              </w:rPr>
            </w:pPr>
            <w:r w:rsidRPr="002C087F">
              <w:rPr>
                <w:rFonts w:asciiTheme="minorHAnsi" w:hAnsiTheme="minorHAnsi" w:cs="Arial"/>
              </w:rPr>
              <w:t xml:space="preserve">Działanie ma zasięg ogólnopolski, będzie realizowany również w województwie mazowieckim. </w:t>
            </w:r>
          </w:p>
        </w:tc>
      </w:tr>
      <w:tr w:rsidR="00916F15" w:rsidRPr="00010A1F" w14:paraId="786633DE" w14:textId="77777777" w:rsidTr="00157533">
        <w:tc>
          <w:tcPr>
            <w:tcW w:w="3256" w:type="dxa"/>
            <w:vAlign w:val="center"/>
          </w:tcPr>
          <w:p w14:paraId="7F797EAA" w14:textId="77777777" w:rsidR="00916F15" w:rsidRPr="00010A1F" w:rsidRDefault="00916F15" w:rsidP="00010A1F">
            <w:pPr>
              <w:spacing w:after="0" w:line="240" w:lineRule="auto"/>
              <w:rPr>
                <w:rFonts w:ascii="Arial" w:hAnsi="Arial" w:cs="Arial"/>
              </w:rPr>
            </w:pPr>
            <w:r>
              <w:rPr>
                <w:rFonts w:ascii="Arial" w:hAnsi="Arial" w:cs="Arial"/>
                <w:b/>
              </w:rPr>
              <w:t xml:space="preserve">Budżet </w:t>
            </w:r>
          </w:p>
        </w:tc>
        <w:tc>
          <w:tcPr>
            <w:tcW w:w="10738" w:type="dxa"/>
            <w:vAlign w:val="center"/>
          </w:tcPr>
          <w:p w14:paraId="72FD3EFC" w14:textId="592A82F4" w:rsidR="00916F15" w:rsidRPr="00010A1F" w:rsidRDefault="00916F15" w:rsidP="00157533">
            <w:pPr>
              <w:spacing w:before="240"/>
              <w:jc w:val="both"/>
              <w:rPr>
                <w:rFonts w:ascii="Arial" w:hAnsi="Arial" w:cs="Arial"/>
              </w:rPr>
            </w:pPr>
            <w:r w:rsidRPr="0045251E">
              <w:t xml:space="preserve">Przy założonej kwocie wsparcia oraz liczbie potencjalnych wnioskodawców, szacowany maksymalny budżet pilotażu wynosi </w:t>
            </w:r>
            <w:r w:rsidR="00A55B9A">
              <w:t>7,7</w:t>
            </w:r>
            <w:r w:rsidRPr="0045251E">
              <w:t xml:space="preserve"> mln PLN.</w:t>
            </w:r>
            <w:r>
              <w:t xml:space="preserve"> </w:t>
            </w:r>
            <w:r w:rsidRPr="00D45D55">
              <w:t>Źródło finansowania: środki PARP w ramach projektu</w:t>
            </w:r>
            <w:r w:rsidR="00157533">
              <w:t xml:space="preserve"> pozakonkursowego</w:t>
            </w:r>
            <w:r w:rsidRPr="00D45D55">
              <w:t xml:space="preserve"> </w:t>
            </w:r>
            <w:r w:rsidRPr="002B172E">
              <w:rPr>
                <w:i/>
              </w:rPr>
              <w:t>inno_LAB – Centrum Analiz i Pilotaży Nowych Instrumentów</w:t>
            </w:r>
            <w:r>
              <w:t xml:space="preserve"> (inno_LAB, Poddziałanie 2.4.1 POIR).</w:t>
            </w:r>
          </w:p>
        </w:tc>
      </w:tr>
    </w:tbl>
    <w:p w14:paraId="03E0C244" w14:textId="77777777" w:rsidR="00876805" w:rsidRPr="0015006D" w:rsidRDefault="00876805" w:rsidP="003537DA"/>
    <w:sectPr w:rsidR="00876805" w:rsidRPr="0015006D" w:rsidSect="000D05ED">
      <w:footerReference w:type="default" r:id="rId10"/>
      <w:pgSz w:w="16838" w:h="11906" w:orient="landscape"/>
      <w:pgMar w:top="993" w:right="141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61A3A" w14:textId="77777777" w:rsidR="008E1B0C" w:rsidRDefault="008E1B0C" w:rsidP="00F94BB0">
      <w:pPr>
        <w:spacing w:after="0" w:line="240" w:lineRule="auto"/>
      </w:pPr>
      <w:r>
        <w:separator/>
      </w:r>
    </w:p>
  </w:endnote>
  <w:endnote w:type="continuationSeparator" w:id="0">
    <w:p w14:paraId="670E6440" w14:textId="77777777" w:rsidR="008E1B0C" w:rsidRDefault="008E1B0C" w:rsidP="00F94BB0">
      <w:pPr>
        <w:spacing w:after="0" w:line="240" w:lineRule="auto"/>
      </w:pPr>
      <w:r>
        <w:continuationSeparator/>
      </w:r>
    </w:p>
  </w:endnote>
  <w:endnote w:type="continuationNotice" w:id="1">
    <w:p w14:paraId="6E37885A" w14:textId="77777777" w:rsidR="008E1B0C" w:rsidRDefault="008E1B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421175"/>
      <w:docPartObj>
        <w:docPartGallery w:val="Page Numbers (Bottom of Page)"/>
        <w:docPartUnique/>
      </w:docPartObj>
    </w:sdtPr>
    <w:sdtEndPr/>
    <w:sdtContent>
      <w:p w14:paraId="601EC0FE" w14:textId="77777777" w:rsidR="00157533" w:rsidRDefault="00A600D6" w:rsidP="00157533">
        <w:pPr>
          <w:pStyle w:val="Stopka"/>
          <w:jc w:val="right"/>
        </w:pPr>
        <w:r>
          <w:fldChar w:fldCharType="begin"/>
        </w:r>
        <w:r w:rsidR="00157533">
          <w:instrText>PAGE   \* MERGEFORMAT</w:instrText>
        </w:r>
        <w:r>
          <w:fldChar w:fldCharType="separate"/>
        </w:r>
        <w:r w:rsidR="009112DC">
          <w:rPr>
            <w:noProof/>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8A4EF" w14:textId="77777777" w:rsidR="008E1B0C" w:rsidRDefault="008E1B0C" w:rsidP="00F94BB0">
      <w:pPr>
        <w:spacing w:after="0" w:line="240" w:lineRule="auto"/>
      </w:pPr>
      <w:r>
        <w:separator/>
      </w:r>
    </w:p>
  </w:footnote>
  <w:footnote w:type="continuationSeparator" w:id="0">
    <w:p w14:paraId="4F8FA2A5" w14:textId="77777777" w:rsidR="008E1B0C" w:rsidRDefault="008E1B0C" w:rsidP="00F94BB0">
      <w:pPr>
        <w:spacing w:after="0" w:line="240" w:lineRule="auto"/>
      </w:pPr>
      <w:r>
        <w:continuationSeparator/>
      </w:r>
    </w:p>
  </w:footnote>
  <w:footnote w:type="continuationNotice" w:id="1">
    <w:p w14:paraId="6E9893F8" w14:textId="77777777" w:rsidR="008E1B0C" w:rsidRDefault="008E1B0C">
      <w:pPr>
        <w:spacing w:after="0" w:line="240" w:lineRule="auto"/>
      </w:pPr>
    </w:p>
  </w:footnote>
  <w:footnote w:id="2">
    <w:p w14:paraId="2821D6D5" w14:textId="77777777" w:rsidR="008F2E48" w:rsidRPr="0045251E" w:rsidRDefault="008F2E48" w:rsidP="008F2E48">
      <w:pPr>
        <w:spacing w:after="0" w:line="240" w:lineRule="auto"/>
        <w:rPr>
          <w:rFonts w:eastAsia="Times New Roman" w:cs="Arial"/>
          <w:sz w:val="20"/>
          <w:szCs w:val="20"/>
          <w:lang w:eastAsia="pl-PL"/>
        </w:rPr>
      </w:pPr>
      <w:r>
        <w:rPr>
          <w:rStyle w:val="Odwoanieprzypisudolnego"/>
        </w:rPr>
        <w:footnoteRef/>
      </w:r>
      <w:r>
        <w:t xml:space="preserve"> </w:t>
      </w:r>
      <w:r w:rsidRPr="008545B0">
        <w:rPr>
          <w:rFonts w:eastAsia="Times New Roman" w:cs="Arial"/>
          <w:sz w:val="20"/>
          <w:szCs w:val="20"/>
          <w:lang w:eastAsia="pl-PL"/>
        </w:rPr>
        <w:t xml:space="preserve">ROZPORZĄDZENIE KOMISJI (UE) NR 651/2014 z dnia 17 czerwca 2014 r. uznające niektóre rodzaje pomocy za zgodne z rynkiem wewnętrznym w zastosowaniu art. 107 </w:t>
      </w:r>
      <w:r>
        <w:rPr>
          <w:rFonts w:eastAsia="Times New Roman" w:cs="Arial"/>
          <w:sz w:val="20"/>
          <w:szCs w:val="20"/>
          <w:lang w:eastAsia="pl-PL"/>
        </w:rPr>
        <w:t>i 108 Traktatu</w:t>
      </w:r>
    </w:p>
  </w:footnote>
  <w:footnote w:id="3">
    <w:p w14:paraId="353B7B20" w14:textId="77777777" w:rsidR="00916F15" w:rsidRDefault="00916F15" w:rsidP="00916F15">
      <w:pPr>
        <w:pStyle w:val="Tekstprzypisudolnego"/>
      </w:pPr>
      <w:r>
        <w:rPr>
          <w:rStyle w:val="Odwoanieprzypisudolnego"/>
        </w:rPr>
        <w:footnoteRef/>
      </w:r>
      <w:r>
        <w:t xml:space="preserve"> General block exemption regulations </w:t>
      </w:r>
      <w:r>
        <w:sym w:font="Symbol" w:char="F02D"/>
      </w:r>
      <w:r>
        <w:t xml:space="preserve"> rozporządzenie Komisji Europejskiej w sprawie ogólnych wyłączeń blokowych (pomoc publiczna udzielana bez konieczności notyfikowania KE).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DF0"/>
    <w:multiLevelType w:val="hybridMultilevel"/>
    <w:tmpl w:val="F37677F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9E40E7B"/>
    <w:multiLevelType w:val="hybridMultilevel"/>
    <w:tmpl w:val="52C81A2E"/>
    <w:lvl w:ilvl="0" w:tplc="171C168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102D31E3"/>
    <w:multiLevelType w:val="hybridMultilevel"/>
    <w:tmpl w:val="43A2FA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3A76E7"/>
    <w:multiLevelType w:val="hybridMultilevel"/>
    <w:tmpl w:val="B25CF7AC"/>
    <w:lvl w:ilvl="0" w:tplc="00000021">
      <w:start w:val="1"/>
      <w:numFmt w:val="bullet"/>
      <w:lvlText w:val="-"/>
      <w:lvlJc w:val="left"/>
      <w:pPr>
        <w:ind w:left="720" w:hanging="360"/>
      </w:pPr>
      <w:rPr>
        <w:rFonts w:ascii="Arial" w:hAnsi="Arial"/>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F30A74"/>
    <w:multiLevelType w:val="hybridMultilevel"/>
    <w:tmpl w:val="7EB6AADE"/>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AFB3C69"/>
    <w:multiLevelType w:val="hybridMultilevel"/>
    <w:tmpl w:val="75CC88E2"/>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 w15:restartNumberingAfterBreak="0">
    <w:nsid w:val="269267E3"/>
    <w:multiLevelType w:val="hybridMultilevel"/>
    <w:tmpl w:val="70C0F5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BF1637"/>
    <w:multiLevelType w:val="hybridMultilevel"/>
    <w:tmpl w:val="CEE4903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29E9172A"/>
    <w:multiLevelType w:val="hybridMultilevel"/>
    <w:tmpl w:val="A978D0DA"/>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15:restartNumberingAfterBreak="0">
    <w:nsid w:val="2CB71FBC"/>
    <w:multiLevelType w:val="hybridMultilevel"/>
    <w:tmpl w:val="5B02B5E0"/>
    <w:lvl w:ilvl="0" w:tplc="C6DEC9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E413124"/>
    <w:multiLevelType w:val="hybridMultilevel"/>
    <w:tmpl w:val="CE36720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0754268"/>
    <w:multiLevelType w:val="hybridMultilevel"/>
    <w:tmpl w:val="C86A0900"/>
    <w:lvl w:ilvl="0" w:tplc="00000021">
      <w:start w:val="1"/>
      <w:numFmt w:val="bullet"/>
      <w:lvlText w:val="-"/>
      <w:lvlJc w:val="left"/>
      <w:pPr>
        <w:ind w:left="720" w:hanging="360"/>
      </w:pPr>
      <w:rPr>
        <w:rFonts w:ascii="Arial" w:hAnsi="Arial"/>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5F7021F"/>
    <w:multiLevelType w:val="hybridMultilevel"/>
    <w:tmpl w:val="3A4847A8"/>
    <w:lvl w:ilvl="0" w:tplc="00000021">
      <w:start w:val="1"/>
      <w:numFmt w:val="bullet"/>
      <w:lvlText w:val="-"/>
      <w:lvlJc w:val="left"/>
      <w:pPr>
        <w:ind w:left="720" w:hanging="360"/>
      </w:pPr>
      <w:rPr>
        <w:rFonts w:ascii="Arial" w:hAnsi="Arial"/>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A3A0669"/>
    <w:multiLevelType w:val="hybridMultilevel"/>
    <w:tmpl w:val="25EEA4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BD3427F"/>
    <w:multiLevelType w:val="hybridMultilevel"/>
    <w:tmpl w:val="6E7606A0"/>
    <w:lvl w:ilvl="0" w:tplc="00000021">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3D1E6130"/>
    <w:multiLevelType w:val="hybridMultilevel"/>
    <w:tmpl w:val="75560190"/>
    <w:lvl w:ilvl="0" w:tplc="CBC03A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6AF64A4"/>
    <w:multiLevelType w:val="multilevel"/>
    <w:tmpl w:val="A052DE2E"/>
    <w:lvl w:ilvl="0">
      <w:start w:val="1"/>
      <w:numFmt w:val="decimal"/>
      <w:lvlText w:val="%1."/>
      <w:lvlJc w:val="left"/>
      <w:pPr>
        <w:ind w:left="360" w:hanging="360"/>
      </w:pPr>
    </w:lvl>
    <w:lvl w:ilvl="1">
      <w:start w:val="1"/>
      <w:numFmt w:val="upperLetter"/>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0400E4"/>
    <w:multiLevelType w:val="hybridMultilevel"/>
    <w:tmpl w:val="B20AAD1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56C228F0"/>
    <w:multiLevelType w:val="hybridMultilevel"/>
    <w:tmpl w:val="672680F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67B975E2"/>
    <w:multiLevelType w:val="hybridMultilevel"/>
    <w:tmpl w:val="72106CBC"/>
    <w:lvl w:ilvl="0" w:tplc="CBC03A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8E90268"/>
    <w:multiLevelType w:val="hybridMultilevel"/>
    <w:tmpl w:val="FD705236"/>
    <w:lvl w:ilvl="0" w:tplc="872407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B642097"/>
    <w:multiLevelType w:val="hybridMultilevel"/>
    <w:tmpl w:val="D8EEDFC8"/>
    <w:lvl w:ilvl="0" w:tplc="00000021">
      <w:start w:val="1"/>
      <w:numFmt w:val="bullet"/>
      <w:lvlText w:val="-"/>
      <w:lvlJc w:val="left"/>
      <w:pPr>
        <w:ind w:left="1080" w:hanging="360"/>
      </w:pPr>
      <w:rPr>
        <w:rFonts w:ascii="Arial" w:hAnsi="Arial"/>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6DEC4FEE"/>
    <w:multiLevelType w:val="hybridMultilevel"/>
    <w:tmpl w:val="31A4E73A"/>
    <w:lvl w:ilvl="0" w:tplc="00000021">
      <w:start w:val="1"/>
      <w:numFmt w:val="bullet"/>
      <w:lvlText w:val="-"/>
      <w:lvlJc w:val="left"/>
      <w:pPr>
        <w:ind w:left="720" w:hanging="360"/>
      </w:pPr>
      <w:rPr>
        <w:rFonts w:ascii="Arial" w:hAnsi="Arial"/>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09A1BB0"/>
    <w:multiLevelType w:val="hybridMultilevel"/>
    <w:tmpl w:val="C374D462"/>
    <w:lvl w:ilvl="0" w:tplc="00000021">
      <w:start w:val="1"/>
      <w:numFmt w:val="bullet"/>
      <w:lvlText w:val="-"/>
      <w:lvlJc w:val="left"/>
      <w:pPr>
        <w:ind w:left="720" w:hanging="360"/>
      </w:pPr>
      <w:rPr>
        <w:rFonts w:ascii="Arial" w:hAnsi="Arial"/>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4F93BF0"/>
    <w:multiLevelType w:val="hybridMultilevel"/>
    <w:tmpl w:val="EA6CC8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0"/>
  </w:num>
  <w:num w:numId="2">
    <w:abstractNumId w:val="13"/>
  </w:num>
  <w:num w:numId="3">
    <w:abstractNumId w:val="0"/>
  </w:num>
  <w:num w:numId="4">
    <w:abstractNumId w:val="18"/>
  </w:num>
  <w:num w:numId="5">
    <w:abstractNumId w:val="14"/>
  </w:num>
  <w:num w:numId="6">
    <w:abstractNumId w:val="3"/>
  </w:num>
  <w:num w:numId="7">
    <w:abstractNumId w:val="17"/>
  </w:num>
  <w:num w:numId="8">
    <w:abstractNumId w:val="24"/>
  </w:num>
  <w:num w:numId="9">
    <w:abstractNumId w:val="8"/>
  </w:num>
  <w:num w:numId="10">
    <w:abstractNumId w:val="21"/>
  </w:num>
  <w:num w:numId="11">
    <w:abstractNumId w:val="22"/>
  </w:num>
  <w:num w:numId="12">
    <w:abstractNumId w:val="23"/>
  </w:num>
  <w:num w:numId="13">
    <w:abstractNumId w:val="12"/>
  </w:num>
  <w:num w:numId="14">
    <w:abstractNumId w:val="11"/>
  </w:num>
  <w:num w:numId="15">
    <w:abstractNumId w:val="2"/>
  </w:num>
  <w:num w:numId="16">
    <w:abstractNumId w:val="7"/>
  </w:num>
  <w:num w:numId="17">
    <w:abstractNumId w:val="9"/>
  </w:num>
  <w:num w:numId="18">
    <w:abstractNumId w:val="1"/>
  </w:num>
  <w:num w:numId="19">
    <w:abstractNumId w:val="20"/>
  </w:num>
  <w:num w:numId="20">
    <w:abstractNumId w:val="4"/>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6"/>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070"/>
    <w:rsid w:val="0000037B"/>
    <w:rsid w:val="00010025"/>
    <w:rsid w:val="00010A1F"/>
    <w:rsid w:val="00021264"/>
    <w:rsid w:val="00027304"/>
    <w:rsid w:val="00027E46"/>
    <w:rsid w:val="0003092E"/>
    <w:rsid w:val="0003572D"/>
    <w:rsid w:val="00036BF3"/>
    <w:rsid w:val="00037A92"/>
    <w:rsid w:val="00042424"/>
    <w:rsid w:val="00051855"/>
    <w:rsid w:val="00054E81"/>
    <w:rsid w:val="00061313"/>
    <w:rsid w:val="0006152D"/>
    <w:rsid w:val="000622A8"/>
    <w:rsid w:val="000641A5"/>
    <w:rsid w:val="000660AF"/>
    <w:rsid w:val="00067135"/>
    <w:rsid w:val="00067ACD"/>
    <w:rsid w:val="00085A52"/>
    <w:rsid w:val="000864AB"/>
    <w:rsid w:val="0008730D"/>
    <w:rsid w:val="0009590A"/>
    <w:rsid w:val="000B1AD2"/>
    <w:rsid w:val="000B3B68"/>
    <w:rsid w:val="000B7C65"/>
    <w:rsid w:val="000C5E7E"/>
    <w:rsid w:val="000D05ED"/>
    <w:rsid w:val="000D0937"/>
    <w:rsid w:val="000D3EDF"/>
    <w:rsid w:val="000D43A0"/>
    <w:rsid w:val="000D4B5A"/>
    <w:rsid w:val="000D4F32"/>
    <w:rsid w:val="000D6660"/>
    <w:rsid w:val="000D7070"/>
    <w:rsid w:val="000E07B7"/>
    <w:rsid w:val="000F0287"/>
    <w:rsid w:val="000F45D9"/>
    <w:rsid w:val="000F4E63"/>
    <w:rsid w:val="000F5C15"/>
    <w:rsid w:val="00104235"/>
    <w:rsid w:val="00107C34"/>
    <w:rsid w:val="001211F4"/>
    <w:rsid w:val="001223E3"/>
    <w:rsid w:val="00132694"/>
    <w:rsid w:val="00134812"/>
    <w:rsid w:val="00137E95"/>
    <w:rsid w:val="0015006D"/>
    <w:rsid w:val="00150843"/>
    <w:rsid w:val="00151052"/>
    <w:rsid w:val="00153E33"/>
    <w:rsid w:val="00157533"/>
    <w:rsid w:val="00170E85"/>
    <w:rsid w:val="001735C6"/>
    <w:rsid w:val="00173B9F"/>
    <w:rsid w:val="00176124"/>
    <w:rsid w:val="00180B3A"/>
    <w:rsid w:val="001824AB"/>
    <w:rsid w:val="0018346F"/>
    <w:rsid w:val="0018560B"/>
    <w:rsid w:val="0019018E"/>
    <w:rsid w:val="001A0E68"/>
    <w:rsid w:val="001A3670"/>
    <w:rsid w:val="001B0AE4"/>
    <w:rsid w:val="001B2FE2"/>
    <w:rsid w:val="001B3B21"/>
    <w:rsid w:val="001B5247"/>
    <w:rsid w:val="001B7A8B"/>
    <w:rsid w:val="001C052E"/>
    <w:rsid w:val="001D19FE"/>
    <w:rsid w:val="001D44E7"/>
    <w:rsid w:val="001E0AA1"/>
    <w:rsid w:val="001E4823"/>
    <w:rsid w:val="001F0880"/>
    <w:rsid w:val="001F269E"/>
    <w:rsid w:val="001F3FB2"/>
    <w:rsid w:val="001F5F98"/>
    <w:rsid w:val="001F7885"/>
    <w:rsid w:val="00201FB8"/>
    <w:rsid w:val="00202CB0"/>
    <w:rsid w:val="00205B8E"/>
    <w:rsid w:val="00206B01"/>
    <w:rsid w:val="0021627F"/>
    <w:rsid w:val="00216AF6"/>
    <w:rsid w:val="00227A56"/>
    <w:rsid w:val="00230DF4"/>
    <w:rsid w:val="002335C9"/>
    <w:rsid w:val="00233F39"/>
    <w:rsid w:val="00242F2E"/>
    <w:rsid w:val="00244152"/>
    <w:rsid w:val="00244614"/>
    <w:rsid w:val="00244BA1"/>
    <w:rsid w:val="002519AD"/>
    <w:rsid w:val="00256532"/>
    <w:rsid w:val="00260573"/>
    <w:rsid w:val="00262A19"/>
    <w:rsid w:val="00282A78"/>
    <w:rsid w:val="00287C30"/>
    <w:rsid w:val="00290E72"/>
    <w:rsid w:val="002B5F9B"/>
    <w:rsid w:val="002B6AAD"/>
    <w:rsid w:val="002C087F"/>
    <w:rsid w:val="002D2A19"/>
    <w:rsid w:val="002D53D5"/>
    <w:rsid w:val="002D73DD"/>
    <w:rsid w:val="002D75FD"/>
    <w:rsid w:val="002D775E"/>
    <w:rsid w:val="002E12A2"/>
    <w:rsid w:val="002F5B7C"/>
    <w:rsid w:val="002F5CC0"/>
    <w:rsid w:val="002F609F"/>
    <w:rsid w:val="002F6954"/>
    <w:rsid w:val="003059B7"/>
    <w:rsid w:val="003146B3"/>
    <w:rsid w:val="00322A93"/>
    <w:rsid w:val="00324183"/>
    <w:rsid w:val="003337C5"/>
    <w:rsid w:val="00334581"/>
    <w:rsid w:val="00335B83"/>
    <w:rsid w:val="00335FA7"/>
    <w:rsid w:val="00336841"/>
    <w:rsid w:val="00337C08"/>
    <w:rsid w:val="00337DAB"/>
    <w:rsid w:val="00340715"/>
    <w:rsid w:val="003537DA"/>
    <w:rsid w:val="00353D2A"/>
    <w:rsid w:val="00354690"/>
    <w:rsid w:val="0035735B"/>
    <w:rsid w:val="00370CAE"/>
    <w:rsid w:val="00372A36"/>
    <w:rsid w:val="00373122"/>
    <w:rsid w:val="00376134"/>
    <w:rsid w:val="00380EB7"/>
    <w:rsid w:val="003852A8"/>
    <w:rsid w:val="00386029"/>
    <w:rsid w:val="003969E4"/>
    <w:rsid w:val="003A4661"/>
    <w:rsid w:val="003A5218"/>
    <w:rsid w:val="003A70CF"/>
    <w:rsid w:val="003B4157"/>
    <w:rsid w:val="003C10B6"/>
    <w:rsid w:val="003C35D0"/>
    <w:rsid w:val="003D1390"/>
    <w:rsid w:val="003D2ED8"/>
    <w:rsid w:val="003D59EF"/>
    <w:rsid w:val="003D7A70"/>
    <w:rsid w:val="003E13CF"/>
    <w:rsid w:val="003E3923"/>
    <w:rsid w:val="003F0731"/>
    <w:rsid w:val="003F5BF0"/>
    <w:rsid w:val="00400AB7"/>
    <w:rsid w:val="00400D6A"/>
    <w:rsid w:val="00413390"/>
    <w:rsid w:val="00423234"/>
    <w:rsid w:val="00427B82"/>
    <w:rsid w:val="00431AF3"/>
    <w:rsid w:val="00434E5F"/>
    <w:rsid w:val="00435775"/>
    <w:rsid w:val="004378F3"/>
    <w:rsid w:val="00441979"/>
    <w:rsid w:val="00441F14"/>
    <w:rsid w:val="00446FA1"/>
    <w:rsid w:val="00452819"/>
    <w:rsid w:val="00452B85"/>
    <w:rsid w:val="00455A59"/>
    <w:rsid w:val="00462EB8"/>
    <w:rsid w:val="0046423D"/>
    <w:rsid w:val="004656D8"/>
    <w:rsid w:val="00474A3A"/>
    <w:rsid w:val="00474FB4"/>
    <w:rsid w:val="00475FE8"/>
    <w:rsid w:val="0048220C"/>
    <w:rsid w:val="00484D0C"/>
    <w:rsid w:val="00486D56"/>
    <w:rsid w:val="00491989"/>
    <w:rsid w:val="00492D3B"/>
    <w:rsid w:val="004961B3"/>
    <w:rsid w:val="00497B93"/>
    <w:rsid w:val="004A1546"/>
    <w:rsid w:val="004B4386"/>
    <w:rsid w:val="004C359A"/>
    <w:rsid w:val="004C4498"/>
    <w:rsid w:val="004C764F"/>
    <w:rsid w:val="004C783D"/>
    <w:rsid w:val="004D00B3"/>
    <w:rsid w:val="004D1E2A"/>
    <w:rsid w:val="004D21A6"/>
    <w:rsid w:val="004E4904"/>
    <w:rsid w:val="004E636A"/>
    <w:rsid w:val="004E709D"/>
    <w:rsid w:val="004F6ACD"/>
    <w:rsid w:val="004F7049"/>
    <w:rsid w:val="0050014E"/>
    <w:rsid w:val="00506889"/>
    <w:rsid w:val="005076E3"/>
    <w:rsid w:val="00520AA9"/>
    <w:rsid w:val="00521B39"/>
    <w:rsid w:val="00522F23"/>
    <w:rsid w:val="00524D03"/>
    <w:rsid w:val="00531527"/>
    <w:rsid w:val="005349CE"/>
    <w:rsid w:val="00534A89"/>
    <w:rsid w:val="00534DE9"/>
    <w:rsid w:val="00541B7F"/>
    <w:rsid w:val="00542F9A"/>
    <w:rsid w:val="00543755"/>
    <w:rsid w:val="00543FF5"/>
    <w:rsid w:val="00546086"/>
    <w:rsid w:val="0054734F"/>
    <w:rsid w:val="00547C9A"/>
    <w:rsid w:val="0055471E"/>
    <w:rsid w:val="00561F42"/>
    <w:rsid w:val="00570AE6"/>
    <w:rsid w:val="0057264E"/>
    <w:rsid w:val="0057780D"/>
    <w:rsid w:val="00590AFB"/>
    <w:rsid w:val="00593E66"/>
    <w:rsid w:val="005A0B1A"/>
    <w:rsid w:val="005A0CBC"/>
    <w:rsid w:val="005A2907"/>
    <w:rsid w:val="005B007C"/>
    <w:rsid w:val="005B10F5"/>
    <w:rsid w:val="005B34D2"/>
    <w:rsid w:val="005B3FEA"/>
    <w:rsid w:val="005B7149"/>
    <w:rsid w:val="005B76F5"/>
    <w:rsid w:val="005C2DA7"/>
    <w:rsid w:val="005C6630"/>
    <w:rsid w:val="005D2D2D"/>
    <w:rsid w:val="005D4705"/>
    <w:rsid w:val="005E1270"/>
    <w:rsid w:val="005E3981"/>
    <w:rsid w:val="005E4AB9"/>
    <w:rsid w:val="005E6BE4"/>
    <w:rsid w:val="005F2B40"/>
    <w:rsid w:val="005F56B5"/>
    <w:rsid w:val="005F7A72"/>
    <w:rsid w:val="00603D29"/>
    <w:rsid w:val="0060409C"/>
    <w:rsid w:val="00614E8B"/>
    <w:rsid w:val="00614FE0"/>
    <w:rsid w:val="0061715D"/>
    <w:rsid w:val="00623A84"/>
    <w:rsid w:val="00624098"/>
    <w:rsid w:val="0062642D"/>
    <w:rsid w:val="00632DFD"/>
    <w:rsid w:val="00633B95"/>
    <w:rsid w:val="00660BDB"/>
    <w:rsid w:val="00661C87"/>
    <w:rsid w:val="00680198"/>
    <w:rsid w:val="00682451"/>
    <w:rsid w:val="00683D1D"/>
    <w:rsid w:val="006873E0"/>
    <w:rsid w:val="00693A93"/>
    <w:rsid w:val="006940A4"/>
    <w:rsid w:val="00696296"/>
    <w:rsid w:val="006A1E86"/>
    <w:rsid w:val="006B008A"/>
    <w:rsid w:val="006B0EC6"/>
    <w:rsid w:val="006B4D77"/>
    <w:rsid w:val="006C0640"/>
    <w:rsid w:val="006C11E4"/>
    <w:rsid w:val="006C3774"/>
    <w:rsid w:val="006D20E8"/>
    <w:rsid w:val="006D640E"/>
    <w:rsid w:val="006E4937"/>
    <w:rsid w:val="006E6A6E"/>
    <w:rsid w:val="006F334C"/>
    <w:rsid w:val="006F4605"/>
    <w:rsid w:val="006F5FDE"/>
    <w:rsid w:val="006F7E08"/>
    <w:rsid w:val="00700F17"/>
    <w:rsid w:val="00702B69"/>
    <w:rsid w:val="007037D8"/>
    <w:rsid w:val="007050A5"/>
    <w:rsid w:val="00707BCA"/>
    <w:rsid w:val="0071135B"/>
    <w:rsid w:val="007116B2"/>
    <w:rsid w:val="00711B0B"/>
    <w:rsid w:val="00716406"/>
    <w:rsid w:val="00730315"/>
    <w:rsid w:val="00731619"/>
    <w:rsid w:val="00733526"/>
    <w:rsid w:val="00733FA7"/>
    <w:rsid w:val="00745ABF"/>
    <w:rsid w:val="007564B8"/>
    <w:rsid w:val="00764C9F"/>
    <w:rsid w:val="00765F31"/>
    <w:rsid w:val="00766637"/>
    <w:rsid w:val="0076773C"/>
    <w:rsid w:val="00773A4C"/>
    <w:rsid w:val="0078166B"/>
    <w:rsid w:val="0078648F"/>
    <w:rsid w:val="00793877"/>
    <w:rsid w:val="007A0E14"/>
    <w:rsid w:val="007A5EE8"/>
    <w:rsid w:val="007A781D"/>
    <w:rsid w:val="007C2C98"/>
    <w:rsid w:val="007D134D"/>
    <w:rsid w:val="007D2A14"/>
    <w:rsid w:val="007D6CAC"/>
    <w:rsid w:val="007E62F6"/>
    <w:rsid w:val="007E7818"/>
    <w:rsid w:val="007F3D26"/>
    <w:rsid w:val="008009B0"/>
    <w:rsid w:val="0080566C"/>
    <w:rsid w:val="00806796"/>
    <w:rsid w:val="008153CE"/>
    <w:rsid w:val="008256F9"/>
    <w:rsid w:val="00826DB6"/>
    <w:rsid w:val="008327A4"/>
    <w:rsid w:val="00833489"/>
    <w:rsid w:val="00833884"/>
    <w:rsid w:val="0083794B"/>
    <w:rsid w:val="008467BD"/>
    <w:rsid w:val="00855027"/>
    <w:rsid w:val="00857000"/>
    <w:rsid w:val="00863530"/>
    <w:rsid w:val="00865F7F"/>
    <w:rsid w:val="00866865"/>
    <w:rsid w:val="00874628"/>
    <w:rsid w:val="00876805"/>
    <w:rsid w:val="00882B0B"/>
    <w:rsid w:val="0089348B"/>
    <w:rsid w:val="008A22E0"/>
    <w:rsid w:val="008A5A75"/>
    <w:rsid w:val="008A6303"/>
    <w:rsid w:val="008B6F1B"/>
    <w:rsid w:val="008B7EB7"/>
    <w:rsid w:val="008C13DC"/>
    <w:rsid w:val="008C168D"/>
    <w:rsid w:val="008C73E5"/>
    <w:rsid w:val="008D0B43"/>
    <w:rsid w:val="008D6CBF"/>
    <w:rsid w:val="008D6F2C"/>
    <w:rsid w:val="008E109E"/>
    <w:rsid w:val="008E1B0C"/>
    <w:rsid w:val="008E41E3"/>
    <w:rsid w:val="008F2E48"/>
    <w:rsid w:val="00907744"/>
    <w:rsid w:val="00907E80"/>
    <w:rsid w:val="00910618"/>
    <w:rsid w:val="009112DC"/>
    <w:rsid w:val="00916F15"/>
    <w:rsid w:val="009237BB"/>
    <w:rsid w:val="00934C6E"/>
    <w:rsid w:val="00936170"/>
    <w:rsid w:val="00942030"/>
    <w:rsid w:val="0094281C"/>
    <w:rsid w:val="00943931"/>
    <w:rsid w:val="0094600C"/>
    <w:rsid w:val="00951B97"/>
    <w:rsid w:val="0095266F"/>
    <w:rsid w:val="0095361C"/>
    <w:rsid w:val="00953961"/>
    <w:rsid w:val="00957050"/>
    <w:rsid w:val="0096119C"/>
    <w:rsid w:val="009653B5"/>
    <w:rsid w:val="00970768"/>
    <w:rsid w:val="00971CD0"/>
    <w:rsid w:val="00975533"/>
    <w:rsid w:val="00977965"/>
    <w:rsid w:val="00977B1A"/>
    <w:rsid w:val="00977EB8"/>
    <w:rsid w:val="0098168F"/>
    <w:rsid w:val="009834CF"/>
    <w:rsid w:val="009850C7"/>
    <w:rsid w:val="009A1722"/>
    <w:rsid w:val="009A393E"/>
    <w:rsid w:val="009A77C2"/>
    <w:rsid w:val="009A783C"/>
    <w:rsid w:val="009C00EC"/>
    <w:rsid w:val="009D05F4"/>
    <w:rsid w:val="009D4D84"/>
    <w:rsid w:val="009E7804"/>
    <w:rsid w:val="009F2F16"/>
    <w:rsid w:val="009F3649"/>
    <w:rsid w:val="009F3B92"/>
    <w:rsid w:val="009F61AD"/>
    <w:rsid w:val="009F7C09"/>
    <w:rsid w:val="00A12FC9"/>
    <w:rsid w:val="00A14A74"/>
    <w:rsid w:val="00A15EBF"/>
    <w:rsid w:val="00A173FC"/>
    <w:rsid w:val="00A20450"/>
    <w:rsid w:val="00A23272"/>
    <w:rsid w:val="00A23A47"/>
    <w:rsid w:val="00A33B13"/>
    <w:rsid w:val="00A403E8"/>
    <w:rsid w:val="00A4101C"/>
    <w:rsid w:val="00A41625"/>
    <w:rsid w:val="00A44545"/>
    <w:rsid w:val="00A55B9A"/>
    <w:rsid w:val="00A600D6"/>
    <w:rsid w:val="00A6148C"/>
    <w:rsid w:val="00A67817"/>
    <w:rsid w:val="00A703EB"/>
    <w:rsid w:val="00A714D4"/>
    <w:rsid w:val="00A76619"/>
    <w:rsid w:val="00A9399B"/>
    <w:rsid w:val="00A948C4"/>
    <w:rsid w:val="00A96BE7"/>
    <w:rsid w:val="00AA0A10"/>
    <w:rsid w:val="00AB1919"/>
    <w:rsid w:val="00AB54B4"/>
    <w:rsid w:val="00AB79E9"/>
    <w:rsid w:val="00AC6DC8"/>
    <w:rsid w:val="00AE0728"/>
    <w:rsid w:val="00AE2D00"/>
    <w:rsid w:val="00AF12B0"/>
    <w:rsid w:val="00AF1841"/>
    <w:rsid w:val="00B05880"/>
    <w:rsid w:val="00B151B2"/>
    <w:rsid w:val="00B1525D"/>
    <w:rsid w:val="00B155CE"/>
    <w:rsid w:val="00B20746"/>
    <w:rsid w:val="00B23E90"/>
    <w:rsid w:val="00B25B69"/>
    <w:rsid w:val="00B27818"/>
    <w:rsid w:val="00B31A44"/>
    <w:rsid w:val="00B32A42"/>
    <w:rsid w:val="00B45CE7"/>
    <w:rsid w:val="00B46A02"/>
    <w:rsid w:val="00B542F6"/>
    <w:rsid w:val="00B57666"/>
    <w:rsid w:val="00B62EAD"/>
    <w:rsid w:val="00B63F6C"/>
    <w:rsid w:val="00B63F8E"/>
    <w:rsid w:val="00B84642"/>
    <w:rsid w:val="00B872D1"/>
    <w:rsid w:val="00B95F19"/>
    <w:rsid w:val="00BA2186"/>
    <w:rsid w:val="00BA5A01"/>
    <w:rsid w:val="00BB3491"/>
    <w:rsid w:val="00BB62E6"/>
    <w:rsid w:val="00BC0356"/>
    <w:rsid w:val="00BC1CE5"/>
    <w:rsid w:val="00BD2D80"/>
    <w:rsid w:val="00BE40CA"/>
    <w:rsid w:val="00BF5F3D"/>
    <w:rsid w:val="00BF7253"/>
    <w:rsid w:val="00C00706"/>
    <w:rsid w:val="00C10006"/>
    <w:rsid w:val="00C226A6"/>
    <w:rsid w:val="00C2741B"/>
    <w:rsid w:val="00C314E9"/>
    <w:rsid w:val="00C339E0"/>
    <w:rsid w:val="00C35204"/>
    <w:rsid w:val="00C3538F"/>
    <w:rsid w:val="00C367A6"/>
    <w:rsid w:val="00C42C72"/>
    <w:rsid w:val="00C4750E"/>
    <w:rsid w:val="00C500E9"/>
    <w:rsid w:val="00C51059"/>
    <w:rsid w:val="00C53210"/>
    <w:rsid w:val="00C55C39"/>
    <w:rsid w:val="00C63B4C"/>
    <w:rsid w:val="00C66730"/>
    <w:rsid w:val="00C8206C"/>
    <w:rsid w:val="00C861E9"/>
    <w:rsid w:val="00C900DD"/>
    <w:rsid w:val="00C91309"/>
    <w:rsid w:val="00C936A6"/>
    <w:rsid w:val="00C950ED"/>
    <w:rsid w:val="00C978F4"/>
    <w:rsid w:val="00CA21E4"/>
    <w:rsid w:val="00CA35B7"/>
    <w:rsid w:val="00CA4768"/>
    <w:rsid w:val="00CA6277"/>
    <w:rsid w:val="00CA641F"/>
    <w:rsid w:val="00CB1B2C"/>
    <w:rsid w:val="00CB452E"/>
    <w:rsid w:val="00CB6983"/>
    <w:rsid w:val="00CC44FB"/>
    <w:rsid w:val="00CC5DC4"/>
    <w:rsid w:val="00CD3E1E"/>
    <w:rsid w:val="00CE2290"/>
    <w:rsid w:val="00CE5583"/>
    <w:rsid w:val="00CE6C4C"/>
    <w:rsid w:val="00CE7C62"/>
    <w:rsid w:val="00CF0FDB"/>
    <w:rsid w:val="00CF5C2E"/>
    <w:rsid w:val="00D02AA3"/>
    <w:rsid w:val="00D0377F"/>
    <w:rsid w:val="00D060D1"/>
    <w:rsid w:val="00D131DB"/>
    <w:rsid w:val="00D22538"/>
    <w:rsid w:val="00D27368"/>
    <w:rsid w:val="00D37389"/>
    <w:rsid w:val="00D42674"/>
    <w:rsid w:val="00D505B7"/>
    <w:rsid w:val="00D50BBE"/>
    <w:rsid w:val="00D54134"/>
    <w:rsid w:val="00D54EE7"/>
    <w:rsid w:val="00D55D01"/>
    <w:rsid w:val="00D60154"/>
    <w:rsid w:val="00D6353D"/>
    <w:rsid w:val="00D75E0A"/>
    <w:rsid w:val="00D766F0"/>
    <w:rsid w:val="00D76F81"/>
    <w:rsid w:val="00D8103B"/>
    <w:rsid w:val="00D92549"/>
    <w:rsid w:val="00D934F1"/>
    <w:rsid w:val="00D935E1"/>
    <w:rsid w:val="00DA148F"/>
    <w:rsid w:val="00DA2D72"/>
    <w:rsid w:val="00DB5A91"/>
    <w:rsid w:val="00DC43F6"/>
    <w:rsid w:val="00DC66F6"/>
    <w:rsid w:val="00DC722C"/>
    <w:rsid w:val="00DD1FCE"/>
    <w:rsid w:val="00DE0249"/>
    <w:rsid w:val="00DE0734"/>
    <w:rsid w:val="00DE0782"/>
    <w:rsid w:val="00DE119C"/>
    <w:rsid w:val="00DE1622"/>
    <w:rsid w:val="00DE202F"/>
    <w:rsid w:val="00DE3F21"/>
    <w:rsid w:val="00DE49AB"/>
    <w:rsid w:val="00DE4C32"/>
    <w:rsid w:val="00DE58A8"/>
    <w:rsid w:val="00DE782E"/>
    <w:rsid w:val="00E00A2B"/>
    <w:rsid w:val="00E034AB"/>
    <w:rsid w:val="00E042DB"/>
    <w:rsid w:val="00E0653C"/>
    <w:rsid w:val="00E13D28"/>
    <w:rsid w:val="00E15EDB"/>
    <w:rsid w:val="00E163F5"/>
    <w:rsid w:val="00E2068E"/>
    <w:rsid w:val="00E25E3A"/>
    <w:rsid w:val="00E27849"/>
    <w:rsid w:val="00E35FAE"/>
    <w:rsid w:val="00E46730"/>
    <w:rsid w:val="00E46F67"/>
    <w:rsid w:val="00E5343A"/>
    <w:rsid w:val="00E5378A"/>
    <w:rsid w:val="00E567E1"/>
    <w:rsid w:val="00E577F6"/>
    <w:rsid w:val="00E61713"/>
    <w:rsid w:val="00E62251"/>
    <w:rsid w:val="00E632E0"/>
    <w:rsid w:val="00E66FB5"/>
    <w:rsid w:val="00E7312A"/>
    <w:rsid w:val="00E753FD"/>
    <w:rsid w:val="00E8172F"/>
    <w:rsid w:val="00E86051"/>
    <w:rsid w:val="00E87942"/>
    <w:rsid w:val="00E9055A"/>
    <w:rsid w:val="00EA3AC3"/>
    <w:rsid w:val="00EA6C96"/>
    <w:rsid w:val="00EB1BEB"/>
    <w:rsid w:val="00EB23F5"/>
    <w:rsid w:val="00EB5F81"/>
    <w:rsid w:val="00EC1406"/>
    <w:rsid w:val="00EC2488"/>
    <w:rsid w:val="00EC4024"/>
    <w:rsid w:val="00EC7808"/>
    <w:rsid w:val="00ED1584"/>
    <w:rsid w:val="00ED3A47"/>
    <w:rsid w:val="00EE6E11"/>
    <w:rsid w:val="00EF1324"/>
    <w:rsid w:val="00EF2894"/>
    <w:rsid w:val="00EF436B"/>
    <w:rsid w:val="00EF476E"/>
    <w:rsid w:val="00EF5305"/>
    <w:rsid w:val="00EF5CEE"/>
    <w:rsid w:val="00EF6FE6"/>
    <w:rsid w:val="00F0114C"/>
    <w:rsid w:val="00F07D04"/>
    <w:rsid w:val="00F14BE6"/>
    <w:rsid w:val="00F17F49"/>
    <w:rsid w:val="00F21966"/>
    <w:rsid w:val="00F263B2"/>
    <w:rsid w:val="00F26DDE"/>
    <w:rsid w:val="00F27A03"/>
    <w:rsid w:val="00F27D63"/>
    <w:rsid w:val="00F32D2C"/>
    <w:rsid w:val="00F35F28"/>
    <w:rsid w:val="00F36AB0"/>
    <w:rsid w:val="00F37569"/>
    <w:rsid w:val="00F433CF"/>
    <w:rsid w:val="00F4530A"/>
    <w:rsid w:val="00F460F3"/>
    <w:rsid w:val="00F526AE"/>
    <w:rsid w:val="00F53785"/>
    <w:rsid w:val="00F53E70"/>
    <w:rsid w:val="00F5699D"/>
    <w:rsid w:val="00F71327"/>
    <w:rsid w:val="00F750A2"/>
    <w:rsid w:val="00F842B5"/>
    <w:rsid w:val="00F9167B"/>
    <w:rsid w:val="00F94BB0"/>
    <w:rsid w:val="00F952BF"/>
    <w:rsid w:val="00FA6198"/>
    <w:rsid w:val="00FB0CD9"/>
    <w:rsid w:val="00FB2414"/>
    <w:rsid w:val="00FC44C4"/>
    <w:rsid w:val="00FD127A"/>
    <w:rsid w:val="00FD1BB1"/>
    <w:rsid w:val="00FD663E"/>
    <w:rsid w:val="00FD714F"/>
    <w:rsid w:val="00FE18D6"/>
    <w:rsid w:val="00FE2475"/>
    <w:rsid w:val="00FE3398"/>
    <w:rsid w:val="00FE43DB"/>
    <w:rsid w:val="00FE6D7E"/>
    <w:rsid w:val="00FE7BFA"/>
    <w:rsid w:val="00FF29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D0B5CC"/>
  <w15:docId w15:val="{39FA47CA-DE73-4E09-8B14-BD844118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1406"/>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B63F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rsid w:val="00C950ED"/>
    <w:rPr>
      <w:rFonts w:cs="Times New Roman"/>
      <w:sz w:val="16"/>
      <w:szCs w:val="16"/>
    </w:rPr>
  </w:style>
  <w:style w:type="paragraph" w:styleId="Tekstkomentarza">
    <w:name w:val="annotation text"/>
    <w:aliases w:val="Znak"/>
    <w:basedOn w:val="Normalny"/>
    <w:link w:val="TekstkomentarzaZnak"/>
    <w:uiPriority w:val="99"/>
    <w:rsid w:val="00C950ED"/>
    <w:pPr>
      <w:spacing w:line="240" w:lineRule="auto"/>
    </w:pPr>
    <w:rPr>
      <w:sz w:val="20"/>
      <w:szCs w:val="20"/>
    </w:rPr>
  </w:style>
  <w:style w:type="character" w:customStyle="1" w:styleId="TekstkomentarzaZnak">
    <w:name w:val="Tekst komentarza Znak"/>
    <w:aliases w:val="Znak Znak1"/>
    <w:basedOn w:val="Domylnaczcionkaakapitu"/>
    <w:link w:val="Tekstkomentarza"/>
    <w:uiPriority w:val="99"/>
    <w:semiHidden/>
    <w:locked/>
    <w:rsid w:val="00C950ED"/>
    <w:rPr>
      <w:rFonts w:cs="Times New Roman"/>
      <w:sz w:val="20"/>
      <w:szCs w:val="20"/>
    </w:rPr>
  </w:style>
  <w:style w:type="paragraph" w:styleId="Tematkomentarza">
    <w:name w:val="annotation subject"/>
    <w:basedOn w:val="Tekstkomentarza"/>
    <w:next w:val="Tekstkomentarza"/>
    <w:link w:val="TematkomentarzaZnak"/>
    <w:uiPriority w:val="99"/>
    <w:semiHidden/>
    <w:rsid w:val="00C950ED"/>
    <w:rPr>
      <w:b/>
      <w:bCs/>
    </w:rPr>
  </w:style>
  <w:style w:type="character" w:customStyle="1" w:styleId="TematkomentarzaZnak">
    <w:name w:val="Temat komentarza Znak"/>
    <w:basedOn w:val="TekstkomentarzaZnak"/>
    <w:link w:val="Tematkomentarza"/>
    <w:uiPriority w:val="99"/>
    <w:semiHidden/>
    <w:locked/>
    <w:rsid w:val="00C950ED"/>
    <w:rPr>
      <w:rFonts w:cs="Times New Roman"/>
      <w:b/>
      <w:bCs/>
      <w:sz w:val="20"/>
      <w:szCs w:val="20"/>
    </w:rPr>
  </w:style>
  <w:style w:type="paragraph" w:styleId="Tekstdymka">
    <w:name w:val="Balloon Text"/>
    <w:basedOn w:val="Normalny"/>
    <w:link w:val="TekstdymkaZnak"/>
    <w:uiPriority w:val="99"/>
    <w:semiHidden/>
    <w:rsid w:val="00C950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C950ED"/>
    <w:rPr>
      <w:rFonts w:ascii="Tahoma" w:hAnsi="Tahoma" w:cs="Tahoma"/>
      <w:sz w:val="16"/>
      <w:szCs w:val="16"/>
    </w:rPr>
  </w:style>
  <w:style w:type="paragraph" w:styleId="Akapitzlist">
    <w:name w:val="List Paragraph"/>
    <w:basedOn w:val="Normalny"/>
    <w:link w:val="AkapitzlistZnak"/>
    <w:uiPriority w:val="34"/>
    <w:qFormat/>
    <w:rsid w:val="00206B01"/>
    <w:pPr>
      <w:ind w:left="720"/>
      <w:contextualSpacing/>
    </w:pPr>
  </w:style>
  <w:style w:type="paragraph" w:styleId="Tekstprzypisudolnego">
    <w:name w:val="footnote text"/>
    <w:basedOn w:val="Normalny"/>
    <w:link w:val="TekstprzypisudolnegoZnak"/>
    <w:uiPriority w:val="99"/>
    <w:semiHidden/>
    <w:rsid w:val="00F94B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F94BB0"/>
    <w:rPr>
      <w:rFonts w:cs="Times New Roman"/>
      <w:sz w:val="20"/>
      <w:szCs w:val="20"/>
    </w:rPr>
  </w:style>
  <w:style w:type="character" w:styleId="Odwoanieprzypisudolnego">
    <w:name w:val="footnote reference"/>
    <w:basedOn w:val="Domylnaczcionkaakapitu"/>
    <w:uiPriority w:val="99"/>
    <w:semiHidden/>
    <w:rsid w:val="00F94BB0"/>
    <w:rPr>
      <w:rFonts w:cs="Times New Roman"/>
      <w:vertAlign w:val="superscript"/>
    </w:rPr>
  </w:style>
  <w:style w:type="paragraph" w:customStyle="1" w:styleId="Default">
    <w:name w:val="Default"/>
    <w:uiPriority w:val="99"/>
    <w:rsid w:val="00F94BB0"/>
    <w:pPr>
      <w:autoSpaceDE w:val="0"/>
      <w:autoSpaceDN w:val="0"/>
      <w:adjustRightInd w:val="0"/>
    </w:pPr>
    <w:rPr>
      <w:rFonts w:ascii="Times New Roman" w:hAnsi="Times New Roman"/>
      <w:color w:val="000000"/>
      <w:sz w:val="24"/>
      <w:szCs w:val="24"/>
      <w:lang w:eastAsia="en-US"/>
    </w:rPr>
  </w:style>
  <w:style w:type="paragraph" w:styleId="Poprawka">
    <w:name w:val="Revision"/>
    <w:hidden/>
    <w:uiPriority w:val="99"/>
    <w:semiHidden/>
    <w:rsid w:val="0094600C"/>
    <w:rPr>
      <w:lang w:eastAsia="en-US"/>
    </w:rPr>
  </w:style>
  <w:style w:type="paragraph" w:styleId="Nagwek">
    <w:name w:val="header"/>
    <w:basedOn w:val="Normalny"/>
    <w:link w:val="NagwekZnak"/>
    <w:uiPriority w:val="99"/>
    <w:rsid w:val="00F4530A"/>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F4530A"/>
    <w:rPr>
      <w:rFonts w:cs="Times New Roman"/>
      <w:lang w:eastAsia="en-US"/>
    </w:rPr>
  </w:style>
  <w:style w:type="paragraph" w:styleId="Stopka">
    <w:name w:val="footer"/>
    <w:basedOn w:val="Normalny"/>
    <w:link w:val="StopkaZnak"/>
    <w:uiPriority w:val="99"/>
    <w:rsid w:val="00F4530A"/>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F4530A"/>
    <w:rPr>
      <w:rFonts w:cs="Times New Roman"/>
      <w:lang w:eastAsia="en-US"/>
    </w:rPr>
  </w:style>
  <w:style w:type="paragraph" w:styleId="NormalnyWeb">
    <w:name w:val="Normal (Web)"/>
    <w:basedOn w:val="Normalny"/>
    <w:uiPriority w:val="99"/>
    <w:rsid w:val="00C42C72"/>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ZnakZnak">
    <w:name w:val="Znak Znak"/>
    <w:basedOn w:val="Normalny"/>
    <w:uiPriority w:val="99"/>
    <w:rsid w:val="0089348B"/>
    <w:pPr>
      <w:spacing w:after="0" w:line="360" w:lineRule="auto"/>
      <w:jc w:val="both"/>
    </w:pPr>
    <w:rPr>
      <w:rFonts w:ascii="Verdana" w:hAnsi="Verdana"/>
      <w:sz w:val="20"/>
      <w:szCs w:val="20"/>
      <w:lang w:eastAsia="pl-PL"/>
    </w:rPr>
  </w:style>
  <w:style w:type="character" w:styleId="Pogrubienie">
    <w:name w:val="Strong"/>
    <w:basedOn w:val="Domylnaczcionkaakapitu"/>
    <w:uiPriority w:val="99"/>
    <w:qFormat/>
    <w:locked/>
    <w:rsid w:val="005C6630"/>
    <w:rPr>
      <w:rFonts w:cs="Times New Roman"/>
      <w:b/>
      <w:bCs/>
    </w:rPr>
  </w:style>
  <w:style w:type="character" w:customStyle="1" w:styleId="AkapitzlistZnak">
    <w:name w:val="Akapit z listą Znak"/>
    <w:link w:val="Akapitzlist"/>
    <w:uiPriority w:val="34"/>
    <w:locked/>
    <w:rsid w:val="008F2E48"/>
    <w:rPr>
      <w:lang w:eastAsia="en-US"/>
    </w:rPr>
  </w:style>
  <w:style w:type="character" w:styleId="Hipercze">
    <w:name w:val="Hyperlink"/>
    <w:basedOn w:val="Domylnaczcionkaakapitu"/>
    <w:uiPriority w:val="99"/>
    <w:unhideWhenUsed/>
    <w:rsid w:val="009439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762031">
      <w:bodyDiv w:val="1"/>
      <w:marLeft w:val="0"/>
      <w:marRight w:val="0"/>
      <w:marTop w:val="0"/>
      <w:marBottom w:val="0"/>
      <w:divBdr>
        <w:top w:val="none" w:sz="0" w:space="0" w:color="auto"/>
        <w:left w:val="none" w:sz="0" w:space="0" w:color="auto"/>
        <w:bottom w:val="none" w:sz="0" w:space="0" w:color="auto"/>
        <w:right w:val="none" w:sz="0" w:space="0" w:color="auto"/>
      </w:divBdr>
    </w:div>
    <w:div w:id="465315262">
      <w:bodyDiv w:val="1"/>
      <w:marLeft w:val="0"/>
      <w:marRight w:val="0"/>
      <w:marTop w:val="0"/>
      <w:marBottom w:val="0"/>
      <w:divBdr>
        <w:top w:val="none" w:sz="0" w:space="0" w:color="auto"/>
        <w:left w:val="none" w:sz="0" w:space="0" w:color="auto"/>
        <w:bottom w:val="none" w:sz="0" w:space="0" w:color="auto"/>
        <w:right w:val="none" w:sz="0" w:space="0" w:color="auto"/>
      </w:divBdr>
    </w:div>
    <w:div w:id="485973192">
      <w:marLeft w:val="0"/>
      <w:marRight w:val="0"/>
      <w:marTop w:val="0"/>
      <w:marBottom w:val="0"/>
      <w:divBdr>
        <w:top w:val="none" w:sz="0" w:space="0" w:color="auto"/>
        <w:left w:val="none" w:sz="0" w:space="0" w:color="auto"/>
        <w:bottom w:val="none" w:sz="0" w:space="0" w:color="auto"/>
        <w:right w:val="none" w:sz="0" w:space="0" w:color="auto"/>
      </w:divBdr>
      <w:divsChild>
        <w:div w:id="485973185">
          <w:marLeft w:val="0"/>
          <w:marRight w:val="0"/>
          <w:marTop w:val="0"/>
          <w:marBottom w:val="0"/>
          <w:divBdr>
            <w:top w:val="none" w:sz="0" w:space="0" w:color="auto"/>
            <w:left w:val="none" w:sz="0" w:space="0" w:color="auto"/>
            <w:bottom w:val="none" w:sz="0" w:space="0" w:color="auto"/>
            <w:right w:val="none" w:sz="0" w:space="0" w:color="auto"/>
          </w:divBdr>
        </w:div>
        <w:div w:id="485973186">
          <w:marLeft w:val="0"/>
          <w:marRight w:val="0"/>
          <w:marTop w:val="0"/>
          <w:marBottom w:val="0"/>
          <w:divBdr>
            <w:top w:val="none" w:sz="0" w:space="0" w:color="auto"/>
            <w:left w:val="none" w:sz="0" w:space="0" w:color="auto"/>
            <w:bottom w:val="none" w:sz="0" w:space="0" w:color="auto"/>
            <w:right w:val="none" w:sz="0" w:space="0" w:color="auto"/>
          </w:divBdr>
        </w:div>
        <w:div w:id="485973187">
          <w:marLeft w:val="0"/>
          <w:marRight w:val="0"/>
          <w:marTop w:val="0"/>
          <w:marBottom w:val="0"/>
          <w:divBdr>
            <w:top w:val="none" w:sz="0" w:space="0" w:color="auto"/>
            <w:left w:val="none" w:sz="0" w:space="0" w:color="auto"/>
            <w:bottom w:val="none" w:sz="0" w:space="0" w:color="auto"/>
            <w:right w:val="none" w:sz="0" w:space="0" w:color="auto"/>
          </w:divBdr>
        </w:div>
        <w:div w:id="485973188">
          <w:marLeft w:val="0"/>
          <w:marRight w:val="0"/>
          <w:marTop w:val="0"/>
          <w:marBottom w:val="0"/>
          <w:divBdr>
            <w:top w:val="none" w:sz="0" w:space="0" w:color="auto"/>
            <w:left w:val="none" w:sz="0" w:space="0" w:color="auto"/>
            <w:bottom w:val="none" w:sz="0" w:space="0" w:color="auto"/>
            <w:right w:val="none" w:sz="0" w:space="0" w:color="auto"/>
          </w:divBdr>
        </w:div>
        <w:div w:id="485973189">
          <w:marLeft w:val="0"/>
          <w:marRight w:val="0"/>
          <w:marTop w:val="0"/>
          <w:marBottom w:val="0"/>
          <w:divBdr>
            <w:top w:val="none" w:sz="0" w:space="0" w:color="auto"/>
            <w:left w:val="none" w:sz="0" w:space="0" w:color="auto"/>
            <w:bottom w:val="none" w:sz="0" w:space="0" w:color="auto"/>
            <w:right w:val="none" w:sz="0" w:space="0" w:color="auto"/>
          </w:divBdr>
        </w:div>
        <w:div w:id="485973190">
          <w:marLeft w:val="0"/>
          <w:marRight w:val="0"/>
          <w:marTop w:val="0"/>
          <w:marBottom w:val="0"/>
          <w:divBdr>
            <w:top w:val="none" w:sz="0" w:space="0" w:color="auto"/>
            <w:left w:val="none" w:sz="0" w:space="0" w:color="auto"/>
            <w:bottom w:val="none" w:sz="0" w:space="0" w:color="auto"/>
            <w:right w:val="none" w:sz="0" w:space="0" w:color="auto"/>
          </w:divBdr>
        </w:div>
        <w:div w:id="485973191">
          <w:marLeft w:val="0"/>
          <w:marRight w:val="0"/>
          <w:marTop w:val="0"/>
          <w:marBottom w:val="0"/>
          <w:divBdr>
            <w:top w:val="none" w:sz="0" w:space="0" w:color="auto"/>
            <w:left w:val="none" w:sz="0" w:space="0" w:color="auto"/>
            <w:bottom w:val="none" w:sz="0" w:space="0" w:color="auto"/>
            <w:right w:val="none" w:sz="0" w:space="0" w:color="auto"/>
          </w:divBdr>
        </w:div>
        <w:div w:id="485973193">
          <w:marLeft w:val="0"/>
          <w:marRight w:val="0"/>
          <w:marTop w:val="0"/>
          <w:marBottom w:val="0"/>
          <w:divBdr>
            <w:top w:val="none" w:sz="0" w:space="0" w:color="auto"/>
            <w:left w:val="none" w:sz="0" w:space="0" w:color="auto"/>
            <w:bottom w:val="none" w:sz="0" w:space="0" w:color="auto"/>
            <w:right w:val="none" w:sz="0" w:space="0" w:color="auto"/>
          </w:divBdr>
        </w:div>
        <w:div w:id="485973194">
          <w:marLeft w:val="0"/>
          <w:marRight w:val="0"/>
          <w:marTop w:val="0"/>
          <w:marBottom w:val="0"/>
          <w:divBdr>
            <w:top w:val="none" w:sz="0" w:space="0" w:color="auto"/>
            <w:left w:val="none" w:sz="0" w:space="0" w:color="auto"/>
            <w:bottom w:val="none" w:sz="0" w:space="0" w:color="auto"/>
            <w:right w:val="none" w:sz="0" w:space="0" w:color="auto"/>
          </w:divBdr>
        </w:div>
        <w:div w:id="485973195">
          <w:marLeft w:val="0"/>
          <w:marRight w:val="0"/>
          <w:marTop w:val="0"/>
          <w:marBottom w:val="0"/>
          <w:divBdr>
            <w:top w:val="none" w:sz="0" w:space="0" w:color="auto"/>
            <w:left w:val="none" w:sz="0" w:space="0" w:color="auto"/>
            <w:bottom w:val="none" w:sz="0" w:space="0" w:color="auto"/>
            <w:right w:val="none" w:sz="0" w:space="0" w:color="auto"/>
          </w:divBdr>
        </w:div>
        <w:div w:id="485973196">
          <w:marLeft w:val="0"/>
          <w:marRight w:val="0"/>
          <w:marTop w:val="0"/>
          <w:marBottom w:val="0"/>
          <w:divBdr>
            <w:top w:val="none" w:sz="0" w:space="0" w:color="auto"/>
            <w:left w:val="none" w:sz="0" w:space="0" w:color="auto"/>
            <w:bottom w:val="none" w:sz="0" w:space="0" w:color="auto"/>
            <w:right w:val="none" w:sz="0" w:space="0" w:color="auto"/>
          </w:divBdr>
        </w:div>
        <w:div w:id="485973197">
          <w:marLeft w:val="0"/>
          <w:marRight w:val="0"/>
          <w:marTop w:val="0"/>
          <w:marBottom w:val="0"/>
          <w:divBdr>
            <w:top w:val="none" w:sz="0" w:space="0" w:color="auto"/>
            <w:left w:val="none" w:sz="0" w:space="0" w:color="auto"/>
            <w:bottom w:val="none" w:sz="0" w:space="0" w:color="auto"/>
            <w:right w:val="none" w:sz="0" w:space="0" w:color="auto"/>
          </w:divBdr>
        </w:div>
      </w:divsChild>
    </w:div>
    <w:div w:id="485973198">
      <w:marLeft w:val="0"/>
      <w:marRight w:val="0"/>
      <w:marTop w:val="0"/>
      <w:marBottom w:val="0"/>
      <w:divBdr>
        <w:top w:val="none" w:sz="0" w:space="0" w:color="auto"/>
        <w:left w:val="none" w:sz="0" w:space="0" w:color="auto"/>
        <w:bottom w:val="none" w:sz="0" w:space="0" w:color="auto"/>
        <w:right w:val="none" w:sz="0" w:space="0" w:color="auto"/>
      </w:divBdr>
    </w:div>
    <w:div w:id="485973199">
      <w:marLeft w:val="0"/>
      <w:marRight w:val="0"/>
      <w:marTop w:val="0"/>
      <w:marBottom w:val="0"/>
      <w:divBdr>
        <w:top w:val="none" w:sz="0" w:space="0" w:color="auto"/>
        <w:left w:val="none" w:sz="0" w:space="0" w:color="auto"/>
        <w:bottom w:val="none" w:sz="0" w:space="0" w:color="auto"/>
        <w:right w:val="none" w:sz="0" w:space="0" w:color="auto"/>
      </w:divBdr>
    </w:div>
    <w:div w:id="485973200">
      <w:marLeft w:val="0"/>
      <w:marRight w:val="0"/>
      <w:marTop w:val="0"/>
      <w:marBottom w:val="0"/>
      <w:divBdr>
        <w:top w:val="none" w:sz="0" w:space="0" w:color="auto"/>
        <w:left w:val="none" w:sz="0" w:space="0" w:color="auto"/>
        <w:bottom w:val="none" w:sz="0" w:space="0" w:color="auto"/>
        <w:right w:val="none" w:sz="0" w:space="0" w:color="auto"/>
      </w:divBdr>
    </w:div>
    <w:div w:id="485973202">
      <w:marLeft w:val="0"/>
      <w:marRight w:val="0"/>
      <w:marTop w:val="0"/>
      <w:marBottom w:val="0"/>
      <w:divBdr>
        <w:top w:val="none" w:sz="0" w:space="0" w:color="auto"/>
        <w:left w:val="none" w:sz="0" w:space="0" w:color="auto"/>
        <w:bottom w:val="none" w:sz="0" w:space="0" w:color="auto"/>
        <w:right w:val="none" w:sz="0" w:space="0" w:color="auto"/>
      </w:divBdr>
      <w:divsChild>
        <w:div w:id="485973201">
          <w:marLeft w:val="0"/>
          <w:marRight w:val="0"/>
          <w:marTop w:val="0"/>
          <w:marBottom w:val="0"/>
          <w:divBdr>
            <w:top w:val="none" w:sz="0" w:space="0" w:color="auto"/>
            <w:left w:val="none" w:sz="0" w:space="0" w:color="auto"/>
            <w:bottom w:val="none" w:sz="0" w:space="0" w:color="auto"/>
            <w:right w:val="none" w:sz="0" w:space="0" w:color="auto"/>
          </w:divBdr>
          <w:divsChild>
            <w:div w:id="485973203">
              <w:marLeft w:val="0"/>
              <w:marRight w:val="0"/>
              <w:marTop w:val="0"/>
              <w:marBottom w:val="0"/>
              <w:divBdr>
                <w:top w:val="none" w:sz="0" w:space="0" w:color="auto"/>
                <w:left w:val="none" w:sz="0" w:space="0" w:color="auto"/>
                <w:bottom w:val="none" w:sz="0" w:space="0" w:color="auto"/>
                <w:right w:val="none" w:sz="0" w:space="0" w:color="auto"/>
              </w:divBdr>
              <w:divsChild>
                <w:div w:id="485973183">
                  <w:marLeft w:val="0"/>
                  <w:marRight w:val="0"/>
                  <w:marTop w:val="0"/>
                  <w:marBottom w:val="0"/>
                  <w:divBdr>
                    <w:top w:val="none" w:sz="0" w:space="0" w:color="auto"/>
                    <w:left w:val="none" w:sz="0" w:space="0" w:color="auto"/>
                    <w:bottom w:val="none" w:sz="0" w:space="0" w:color="auto"/>
                    <w:right w:val="none" w:sz="0" w:space="0" w:color="auto"/>
                  </w:divBdr>
                  <w:divsChild>
                    <w:div w:id="485973184">
                      <w:marLeft w:val="0"/>
                      <w:marRight w:val="0"/>
                      <w:marTop w:val="0"/>
                      <w:marBottom w:val="0"/>
                      <w:divBdr>
                        <w:top w:val="none" w:sz="0" w:space="0" w:color="auto"/>
                        <w:left w:val="none" w:sz="0" w:space="0" w:color="auto"/>
                        <w:bottom w:val="none" w:sz="0" w:space="0" w:color="auto"/>
                        <w:right w:val="none" w:sz="0" w:space="0" w:color="auto"/>
                      </w:divBdr>
                      <w:divsChild>
                        <w:div w:id="485973182">
                          <w:marLeft w:val="0"/>
                          <w:marRight w:val="0"/>
                          <w:marTop w:val="0"/>
                          <w:marBottom w:val="0"/>
                          <w:divBdr>
                            <w:top w:val="none" w:sz="0" w:space="0" w:color="auto"/>
                            <w:left w:val="none" w:sz="0" w:space="0" w:color="auto"/>
                            <w:bottom w:val="none" w:sz="0" w:space="0" w:color="auto"/>
                            <w:right w:val="none" w:sz="0" w:space="0" w:color="auto"/>
                          </w:divBdr>
                          <w:divsChild>
                            <w:div w:id="485973220">
                              <w:marLeft w:val="0"/>
                              <w:marRight w:val="0"/>
                              <w:marTop w:val="0"/>
                              <w:marBottom w:val="0"/>
                              <w:divBdr>
                                <w:top w:val="none" w:sz="0" w:space="0" w:color="auto"/>
                                <w:left w:val="none" w:sz="0" w:space="0" w:color="auto"/>
                                <w:bottom w:val="none" w:sz="0" w:space="0" w:color="auto"/>
                                <w:right w:val="none" w:sz="0" w:space="0" w:color="auto"/>
                              </w:divBdr>
                              <w:divsChild>
                                <w:div w:id="48597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973211">
      <w:marLeft w:val="0"/>
      <w:marRight w:val="0"/>
      <w:marTop w:val="0"/>
      <w:marBottom w:val="0"/>
      <w:divBdr>
        <w:top w:val="none" w:sz="0" w:space="0" w:color="auto"/>
        <w:left w:val="none" w:sz="0" w:space="0" w:color="auto"/>
        <w:bottom w:val="none" w:sz="0" w:space="0" w:color="auto"/>
        <w:right w:val="none" w:sz="0" w:space="0" w:color="auto"/>
      </w:divBdr>
      <w:divsChild>
        <w:div w:id="485973204">
          <w:marLeft w:val="0"/>
          <w:marRight w:val="0"/>
          <w:marTop w:val="0"/>
          <w:marBottom w:val="0"/>
          <w:divBdr>
            <w:top w:val="none" w:sz="0" w:space="0" w:color="auto"/>
            <w:left w:val="none" w:sz="0" w:space="0" w:color="auto"/>
            <w:bottom w:val="none" w:sz="0" w:space="0" w:color="auto"/>
            <w:right w:val="none" w:sz="0" w:space="0" w:color="auto"/>
          </w:divBdr>
        </w:div>
        <w:div w:id="485973205">
          <w:marLeft w:val="0"/>
          <w:marRight w:val="0"/>
          <w:marTop w:val="0"/>
          <w:marBottom w:val="0"/>
          <w:divBdr>
            <w:top w:val="none" w:sz="0" w:space="0" w:color="auto"/>
            <w:left w:val="none" w:sz="0" w:space="0" w:color="auto"/>
            <w:bottom w:val="none" w:sz="0" w:space="0" w:color="auto"/>
            <w:right w:val="none" w:sz="0" w:space="0" w:color="auto"/>
          </w:divBdr>
        </w:div>
        <w:div w:id="485973206">
          <w:marLeft w:val="0"/>
          <w:marRight w:val="0"/>
          <w:marTop w:val="0"/>
          <w:marBottom w:val="0"/>
          <w:divBdr>
            <w:top w:val="none" w:sz="0" w:space="0" w:color="auto"/>
            <w:left w:val="none" w:sz="0" w:space="0" w:color="auto"/>
            <w:bottom w:val="none" w:sz="0" w:space="0" w:color="auto"/>
            <w:right w:val="none" w:sz="0" w:space="0" w:color="auto"/>
          </w:divBdr>
        </w:div>
        <w:div w:id="485973207">
          <w:marLeft w:val="0"/>
          <w:marRight w:val="0"/>
          <w:marTop w:val="0"/>
          <w:marBottom w:val="0"/>
          <w:divBdr>
            <w:top w:val="none" w:sz="0" w:space="0" w:color="auto"/>
            <w:left w:val="none" w:sz="0" w:space="0" w:color="auto"/>
            <w:bottom w:val="none" w:sz="0" w:space="0" w:color="auto"/>
            <w:right w:val="none" w:sz="0" w:space="0" w:color="auto"/>
          </w:divBdr>
        </w:div>
        <w:div w:id="485973208">
          <w:marLeft w:val="0"/>
          <w:marRight w:val="0"/>
          <w:marTop w:val="0"/>
          <w:marBottom w:val="0"/>
          <w:divBdr>
            <w:top w:val="none" w:sz="0" w:space="0" w:color="auto"/>
            <w:left w:val="none" w:sz="0" w:space="0" w:color="auto"/>
            <w:bottom w:val="none" w:sz="0" w:space="0" w:color="auto"/>
            <w:right w:val="none" w:sz="0" w:space="0" w:color="auto"/>
          </w:divBdr>
        </w:div>
        <w:div w:id="485973209">
          <w:marLeft w:val="0"/>
          <w:marRight w:val="0"/>
          <w:marTop w:val="0"/>
          <w:marBottom w:val="0"/>
          <w:divBdr>
            <w:top w:val="none" w:sz="0" w:space="0" w:color="auto"/>
            <w:left w:val="none" w:sz="0" w:space="0" w:color="auto"/>
            <w:bottom w:val="none" w:sz="0" w:space="0" w:color="auto"/>
            <w:right w:val="none" w:sz="0" w:space="0" w:color="auto"/>
          </w:divBdr>
        </w:div>
        <w:div w:id="485973210">
          <w:marLeft w:val="0"/>
          <w:marRight w:val="0"/>
          <w:marTop w:val="0"/>
          <w:marBottom w:val="0"/>
          <w:divBdr>
            <w:top w:val="none" w:sz="0" w:space="0" w:color="auto"/>
            <w:left w:val="none" w:sz="0" w:space="0" w:color="auto"/>
            <w:bottom w:val="none" w:sz="0" w:space="0" w:color="auto"/>
            <w:right w:val="none" w:sz="0" w:space="0" w:color="auto"/>
          </w:divBdr>
        </w:div>
        <w:div w:id="485973212">
          <w:marLeft w:val="0"/>
          <w:marRight w:val="0"/>
          <w:marTop w:val="0"/>
          <w:marBottom w:val="0"/>
          <w:divBdr>
            <w:top w:val="none" w:sz="0" w:space="0" w:color="auto"/>
            <w:left w:val="none" w:sz="0" w:space="0" w:color="auto"/>
            <w:bottom w:val="none" w:sz="0" w:space="0" w:color="auto"/>
            <w:right w:val="none" w:sz="0" w:space="0" w:color="auto"/>
          </w:divBdr>
        </w:div>
        <w:div w:id="485973213">
          <w:marLeft w:val="0"/>
          <w:marRight w:val="0"/>
          <w:marTop w:val="0"/>
          <w:marBottom w:val="0"/>
          <w:divBdr>
            <w:top w:val="none" w:sz="0" w:space="0" w:color="auto"/>
            <w:left w:val="none" w:sz="0" w:space="0" w:color="auto"/>
            <w:bottom w:val="none" w:sz="0" w:space="0" w:color="auto"/>
            <w:right w:val="none" w:sz="0" w:space="0" w:color="auto"/>
          </w:divBdr>
        </w:div>
        <w:div w:id="485973214">
          <w:marLeft w:val="0"/>
          <w:marRight w:val="0"/>
          <w:marTop w:val="0"/>
          <w:marBottom w:val="0"/>
          <w:divBdr>
            <w:top w:val="none" w:sz="0" w:space="0" w:color="auto"/>
            <w:left w:val="none" w:sz="0" w:space="0" w:color="auto"/>
            <w:bottom w:val="none" w:sz="0" w:space="0" w:color="auto"/>
            <w:right w:val="none" w:sz="0" w:space="0" w:color="auto"/>
          </w:divBdr>
        </w:div>
        <w:div w:id="485973215">
          <w:marLeft w:val="0"/>
          <w:marRight w:val="0"/>
          <w:marTop w:val="0"/>
          <w:marBottom w:val="0"/>
          <w:divBdr>
            <w:top w:val="none" w:sz="0" w:space="0" w:color="auto"/>
            <w:left w:val="none" w:sz="0" w:space="0" w:color="auto"/>
            <w:bottom w:val="none" w:sz="0" w:space="0" w:color="auto"/>
            <w:right w:val="none" w:sz="0" w:space="0" w:color="auto"/>
          </w:divBdr>
        </w:div>
        <w:div w:id="485973216">
          <w:marLeft w:val="0"/>
          <w:marRight w:val="0"/>
          <w:marTop w:val="0"/>
          <w:marBottom w:val="0"/>
          <w:divBdr>
            <w:top w:val="none" w:sz="0" w:space="0" w:color="auto"/>
            <w:left w:val="none" w:sz="0" w:space="0" w:color="auto"/>
            <w:bottom w:val="none" w:sz="0" w:space="0" w:color="auto"/>
            <w:right w:val="none" w:sz="0" w:space="0" w:color="auto"/>
          </w:divBdr>
        </w:div>
      </w:divsChild>
    </w:div>
    <w:div w:id="485973217">
      <w:marLeft w:val="0"/>
      <w:marRight w:val="0"/>
      <w:marTop w:val="0"/>
      <w:marBottom w:val="0"/>
      <w:divBdr>
        <w:top w:val="none" w:sz="0" w:space="0" w:color="auto"/>
        <w:left w:val="none" w:sz="0" w:space="0" w:color="auto"/>
        <w:bottom w:val="none" w:sz="0" w:space="0" w:color="auto"/>
        <w:right w:val="none" w:sz="0" w:space="0" w:color="auto"/>
      </w:divBdr>
    </w:div>
    <w:div w:id="485973218">
      <w:marLeft w:val="0"/>
      <w:marRight w:val="0"/>
      <w:marTop w:val="0"/>
      <w:marBottom w:val="0"/>
      <w:divBdr>
        <w:top w:val="none" w:sz="0" w:space="0" w:color="auto"/>
        <w:left w:val="none" w:sz="0" w:space="0" w:color="auto"/>
        <w:bottom w:val="none" w:sz="0" w:space="0" w:color="auto"/>
        <w:right w:val="none" w:sz="0" w:space="0" w:color="auto"/>
      </w:divBdr>
    </w:div>
    <w:div w:id="4859732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26A06616F648A4BB04C84FD57D8D2CE" ma:contentTypeVersion="0" ma:contentTypeDescription="Utwórz nowy dokument." ma:contentTypeScope="" ma:versionID="9633b2f689a292db4872f3d01466e354">
  <xsd:schema xmlns:xsd="http://www.w3.org/2001/XMLSchema" xmlns:xs="http://www.w3.org/2001/XMLSchema" xmlns:p="http://schemas.microsoft.com/office/2006/metadata/properties" targetNamespace="http://schemas.microsoft.com/office/2006/metadata/properties" ma:root="true" ma:fieldsID="2a4808c853e9eb948d4d7c462f60bb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D8B964-D08C-4470-BAE8-7B32F24FA830}">
  <ds:schemaRefs>
    <ds:schemaRef ds:uri="http://schemas.microsoft.com/sharepoint/v3/contenttype/forms"/>
  </ds:schemaRefs>
</ds:datastoreItem>
</file>

<file path=customXml/itemProps2.xml><?xml version="1.0" encoding="utf-8"?>
<ds:datastoreItem xmlns:ds="http://schemas.openxmlformats.org/officeDocument/2006/customXml" ds:itemID="{D9C6AB4B-CFB6-424B-B804-A67C19759E7F}">
  <ds:schemaRefs>
    <ds:schemaRef ds:uri="http://schemas.microsoft.com/office/2006/metadata/properties"/>
    <ds:schemaRef ds:uri="http://schemas.openxmlformats.org/package/2006/metadata/core-properties"/>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E3B87E8-A7D5-4301-9662-F836200BC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1491</Words>
  <Characters>9994</Characters>
  <Application>Microsoft Office Word</Application>
  <DocSecurity>0</DocSecurity>
  <Lines>83</Lines>
  <Paragraphs>22</Paragraphs>
  <ScaleCrop>false</ScaleCrop>
  <HeadingPairs>
    <vt:vector size="2" baseType="variant">
      <vt:variant>
        <vt:lpstr>Tytuł</vt:lpstr>
      </vt:variant>
      <vt:variant>
        <vt:i4>1</vt:i4>
      </vt:variant>
    </vt:vector>
  </HeadingPairs>
  <TitlesOfParts>
    <vt:vector size="1" baseType="lpstr">
      <vt:lpstr>Tytuł instrumentu</vt:lpstr>
    </vt:vector>
  </TitlesOfParts>
  <Company>MRR</Company>
  <LinksUpToDate>false</LinksUpToDate>
  <CharactersWithSpaces>11463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Tytuł instrumentu</dc:title>
  <dc:creator>Lukasz Małecki</dc:creator>
  <cp:lastModifiedBy>Antonowicz Monika</cp:lastModifiedBy>
  <cp:revision>5</cp:revision>
  <cp:lastPrinted>2014-06-09T07:11:00Z</cp:lastPrinted>
  <dcterms:created xsi:type="dcterms:W3CDTF">2017-05-05T12:03:00Z</dcterms:created>
  <dcterms:modified xsi:type="dcterms:W3CDTF">2017-05-12T11:25:00Z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0x010100B26A06616F648A4BB04C84FD57D8D2CE</vt:lpwstr>
  </property>
</Properties>
</file>